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91B" w:rsidRDefault="00A35AAF" w:rsidP="00E0591B">
      <w:pPr>
        <w:pStyle w:val="CRCoverPage"/>
        <w:tabs>
          <w:tab w:val="right" w:pos="9639"/>
        </w:tabs>
        <w:spacing w:after="0"/>
        <w:rPr>
          <w:b/>
          <w:i/>
          <w:noProof/>
          <w:sz w:val="28"/>
        </w:rPr>
      </w:pPr>
      <w:r>
        <w:rPr>
          <w:b/>
          <w:noProof/>
          <w:sz w:val="24"/>
          <w:lang w:val="en-US"/>
        </w:rPr>
        <w:t>3GPP TSG-RAN WG2 NR AH1807</w:t>
      </w:r>
      <w:r w:rsidR="00E0591B">
        <w:rPr>
          <w:b/>
          <w:i/>
          <w:noProof/>
          <w:sz w:val="28"/>
        </w:rPr>
        <w:tab/>
        <w:t>R2-18</w:t>
      </w:r>
      <w:r w:rsidR="00BC12BB">
        <w:rPr>
          <w:b/>
          <w:i/>
          <w:noProof/>
          <w:sz w:val="28"/>
        </w:rPr>
        <w:t>10670</w:t>
      </w:r>
      <w:bookmarkStart w:id="0" w:name="_GoBack"/>
      <w:bookmarkEnd w:id="0"/>
    </w:p>
    <w:p w:rsidR="00E0591B" w:rsidRDefault="00A35AAF" w:rsidP="00E0591B">
      <w:pPr>
        <w:pStyle w:val="CRCoverPage"/>
        <w:outlineLvl w:val="0"/>
        <w:rPr>
          <w:b/>
          <w:noProof/>
          <w:sz w:val="24"/>
        </w:rPr>
      </w:pPr>
      <w:r>
        <w:rPr>
          <w:b/>
          <w:noProof/>
          <w:sz w:val="24"/>
          <w:lang w:eastAsia="ko-KR"/>
        </w:rPr>
        <w:t>Montreal, Canada</w:t>
      </w:r>
      <w:r w:rsidR="00E0591B">
        <w:rPr>
          <w:rFonts w:hint="eastAsia"/>
          <w:b/>
          <w:noProof/>
          <w:sz w:val="24"/>
          <w:lang w:eastAsia="ko-KR"/>
        </w:rPr>
        <w:t xml:space="preserve">, </w:t>
      </w:r>
      <w:r>
        <w:rPr>
          <w:b/>
          <w:noProof/>
          <w:sz w:val="24"/>
          <w:lang w:eastAsia="ko-KR"/>
        </w:rPr>
        <w:t>July 2</w:t>
      </w:r>
      <w:r w:rsidR="00E0591B">
        <w:rPr>
          <w:b/>
          <w:noProof/>
          <w:sz w:val="24"/>
        </w:rPr>
        <w:t xml:space="preserve"> – </w:t>
      </w:r>
      <w:r>
        <w:rPr>
          <w:b/>
          <w:noProof/>
          <w:sz w:val="24"/>
        </w:rPr>
        <w:t>July 6,</w:t>
      </w:r>
      <w:r w:rsidR="00E0591B">
        <w:rPr>
          <w:b/>
          <w:noProof/>
          <w:sz w:val="24"/>
        </w:rPr>
        <w:t xml:space="preserve"> 2018</w:t>
      </w:r>
    </w:p>
    <w:p w:rsidR="003F3E87" w:rsidRDefault="003F3E87">
      <w:pPr>
        <w:pStyle w:val="a3"/>
        <w:rPr>
          <w:noProof w:val="0"/>
          <w:lang w:val="en-GB" w:eastAsia="ko-KR"/>
        </w:rPr>
      </w:pP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A35AAF">
        <w:rPr>
          <w:rFonts w:ascii="Arial" w:hAnsi="Arial"/>
          <w:sz w:val="24"/>
          <w:lang w:val="en-US" w:eastAsia="ko-KR"/>
        </w:rPr>
        <w:t>1.1.2</w:t>
      </w:r>
      <w:r>
        <w:rPr>
          <w:rFonts w:ascii="Arial" w:hAnsi="Arial" w:hint="eastAsia"/>
          <w:sz w:val="24"/>
          <w:lang w:val="en-US" w:eastAsia="ko-KR"/>
        </w:rPr>
        <w:t xml:space="preserve"> (</w:t>
      </w:r>
      <w:r w:rsidR="00A35AAF">
        <w:rPr>
          <w:rFonts w:ascii="Arial" w:hAnsi="Arial" w:hint="eastAsia"/>
          <w:sz w:val="24"/>
          <w:lang w:val="en-US" w:eastAsia="ko-KR"/>
        </w:rPr>
        <w:t>FS_NR_IAB</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43431">
        <w:rPr>
          <w:rFonts w:ascii="Arial" w:hAnsi="Arial"/>
          <w:sz w:val="24"/>
          <w:lang w:val="en-US" w:eastAsia="ko-KR"/>
        </w:rPr>
        <w:t>H</w:t>
      </w:r>
      <w:r w:rsidR="00A35AAF">
        <w:rPr>
          <w:rFonts w:ascii="Arial" w:hAnsi="Arial"/>
          <w:sz w:val="24"/>
          <w:lang w:val="en-US" w:eastAsia="ko-KR"/>
        </w:rPr>
        <w:t>op-by-</w:t>
      </w:r>
      <w:r w:rsidR="00943431">
        <w:rPr>
          <w:rFonts w:ascii="Arial" w:hAnsi="Arial"/>
          <w:sz w:val="24"/>
          <w:lang w:val="en-US" w:eastAsia="ko-KR"/>
        </w:rPr>
        <w:t>H</w:t>
      </w:r>
      <w:r w:rsidR="00A35AAF">
        <w:rPr>
          <w:rFonts w:ascii="Arial" w:hAnsi="Arial"/>
          <w:sz w:val="24"/>
          <w:lang w:val="en-US" w:eastAsia="ko-KR"/>
        </w:rPr>
        <w:t>op ARQ</w:t>
      </w:r>
      <w:r w:rsidR="00943431">
        <w:rPr>
          <w:rFonts w:ascii="Arial" w:hAnsi="Arial"/>
          <w:sz w:val="24"/>
          <w:lang w:val="en-US" w:eastAsia="ko-KR"/>
        </w:rPr>
        <w:t xml:space="preserve"> vs. End-to-End ARQ</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A3BD2" w:rsidRDefault="00CA3BD2">
      <w:pPr>
        <w:rPr>
          <w:sz w:val="22"/>
          <w:lang w:val="en-US" w:eastAsia="ko-KR"/>
        </w:rPr>
      </w:pPr>
      <w:r>
        <w:rPr>
          <w:sz w:val="22"/>
          <w:lang w:val="en-US" w:eastAsia="ko-KR"/>
        </w:rPr>
        <w:t xml:space="preserve">At the RAN2#102 meeting, </w:t>
      </w:r>
      <w:r>
        <w:rPr>
          <w:rFonts w:hint="eastAsia"/>
          <w:sz w:val="22"/>
          <w:lang w:val="en-US" w:eastAsia="ko-KR"/>
        </w:rPr>
        <w:t xml:space="preserve">RAN2 has </w:t>
      </w:r>
      <w:r>
        <w:rPr>
          <w:sz w:val="22"/>
          <w:lang w:val="en-US" w:eastAsia="ko-KR"/>
        </w:rPr>
        <w:t>evaluated two options of multi-hop RLC ARQ, i.e. hop-by-hop ARQ and end-to-end ARQ, and the evaluation result is captured in [1].</w:t>
      </w:r>
    </w:p>
    <w:p w:rsidR="00CA3BD2" w:rsidRDefault="00CA3BD2">
      <w:pPr>
        <w:rPr>
          <w:sz w:val="22"/>
          <w:lang w:val="en-US" w:eastAsia="ko-KR"/>
        </w:rPr>
      </w:pPr>
      <w:r>
        <w:rPr>
          <w:rFonts w:hint="eastAsia"/>
          <w:sz w:val="22"/>
          <w:lang w:val="en-US" w:eastAsia="ko-KR"/>
        </w:rPr>
        <w:t xml:space="preserve">This document </w:t>
      </w:r>
      <w:r w:rsidR="00914362">
        <w:rPr>
          <w:sz w:val="22"/>
          <w:lang w:val="en-US" w:eastAsia="ko-KR"/>
        </w:rPr>
        <w:t>addresses two issues on the evaluation result</w:t>
      </w:r>
      <w:r>
        <w:rPr>
          <w:sz w:val="22"/>
          <w:lang w:val="en-US" w:eastAsia="ko-KR"/>
        </w:rPr>
        <w:t>.</w:t>
      </w:r>
    </w:p>
    <w:p w:rsidR="003A51C6" w:rsidRDefault="003A51C6">
      <w:pPr>
        <w:rPr>
          <w:sz w:val="22"/>
          <w:lang w:val="en-US" w:eastAsia="ko-KR"/>
        </w:rPr>
      </w:pPr>
    </w:p>
    <w:p w:rsidR="003F3E87" w:rsidRDefault="00812553">
      <w:pPr>
        <w:pStyle w:val="1"/>
        <w:rPr>
          <w:rFonts w:ascii="Times New Roman" w:hAnsi="Times New Roman"/>
          <w:lang w:val="en-US" w:eastAsia="ko-KR"/>
        </w:rPr>
      </w:pPr>
      <w:r>
        <w:rPr>
          <w:lang w:val="en-US"/>
        </w:rPr>
        <w:t>2.</w:t>
      </w:r>
      <w:r>
        <w:rPr>
          <w:lang w:val="en-US"/>
        </w:rPr>
        <w:tab/>
        <w:t>Discussion</w:t>
      </w:r>
    </w:p>
    <w:p w:rsidR="00382872" w:rsidRDefault="00382872" w:rsidP="00767B46">
      <w:pPr>
        <w:rPr>
          <w:sz w:val="22"/>
          <w:lang w:val="en-US" w:eastAsia="ko-KR"/>
        </w:rPr>
      </w:pPr>
      <w:r>
        <w:rPr>
          <w:sz w:val="22"/>
          <w:lang w:val="en-US" w:eastAsia="ko-KR"/>
        </w:rPr>
        <w:t>E</w:t>
      </w:r>
      <w:r>
        <w:rPr>
          <w:rFonts w:hint="eastAsia"/>
          <w:sz w:val="22"/>
          <w:lang w:val="en-US" w:eastAsia="ko-KR"/>
        </w:rPr>
        <w:t xml:space="preserve">ach </w:t>
      </w:r>
      <w:r>
        <w:rPr>
          <w:sz w:val="22"/>
          <w:lang w:val="en-US" w:eastAsia="ko-KR"/>
        </w:rPr>
        <w:t>option of multi-hop ARQ has pros and cons, as captured in [1].</w:t>
      </w:r>
      <w:r w:rsidR="00C6560B">
        <w:rPr>
          <w:sz w:val="22"/>
          <w:lang w:val="en-US" w:eastAsia="ko-KR"/>
        </w:rPr>
        <w:t xml:space="preserve"> Here, we want to express our view on the two issues, highlighted below.</w:t>
      </w:r>
    </w:p>
    <w:tbl>
      <w:tblPr>
        <w:tblStyle w:val="a8"/>
        <w:tblW w:w="0" w:type="auto"/>
        <w:tblLook w:val="04A0" w:firstRow="1" w:lastRow="0" w:firstColumn="1" w:lastColumn="0" w:noHBand="0" w:noVBand="1"/>
      </w:tblPr>
      <w:tblGrid>
        <w:gridCol w:w="9631"/>
      </w:tblGrid>
      <w:tr w:rsidR="00382872" w:rsidTr="00382872">
        <w:tc>
          <w:tcPr>
            <w:tcW w:w="9631" w:type="dxa"/>
          </w:tcPr>
          <w:p w:rsidR="00382872" w:rsidRDefault="00382872" w:rsidP="00767B46">
            <w:pPr>
              <w:rPr>
                <w:sz w:val="22"/>
                <w:lang w:eastAsia="ko-KR"/>
              </w:rPr>
            </w:pPr>
          </w:p>
          <w:p w:rsidR="00943431" w:rsidRPr="00F67D4F" w:rsidRDefault="00943431" w:rsidP="00943431">
            <w:pPr>
              <w:pStyle w:val="2"/>
              <w:spacing w:after="120"/>
              <w:ind w:left="636" w:hanging="636"/>
              <w:rPr>
                <w:rStyle w:val="ab"/>
                <w:bCs/>
                <w:color w:val="000000"/>
                <w:sz w:val="24"/>
              </w:rPr>
            </w:pPr>
            <w:r>
              <w:rPr>
                <w:rStyle w:val="ab"/>
                <w:bCs/>
                <w:color w:val="000000"/>
                <w:sz w:val="24"/>
              </w:rPr>
              <w:t>8.</w:t>
            </w:r>
            <w:r w:rsidRPr="00F67D4F">
              <w:rPr>
                <w:rStyle w:val="ab"/>
                <w:bCs/>
                <w:color w:val="000000"/>
                <w:sz w:val="24"/>
              </w:rPr>
              <w:t>2.</w:t>
            </w:r>
            <w:r>
              <w:rPr>
                <w:rStyle w:val="ab"/>
                <w:bCs/>
                <w:color w:val="000000"/>
                <w:sz w:val="24"/>
              </w:rPr>
              <w:t>3</w:t>
            </w:r>
            <w:r w:rsidRPr="00F67D4F">
              <w:rPr>
                <w:rStyle w:val="ab"/>
                <w:bCs/>
                <w:color w:val="000000"/>
                <w:sz w:val="24"/>
              </w:rPr>
              <w:t xml:space="preserve"> Multi-hop RLC ARQ</w:t>
            </w:r>
          </w:p>
          <w:p w:rsidR="00943431" w:rsidRPr="007F71A8" w:rsidRDefault="00943431" w:rsidP="00943431">
            <w:pPr>
              <w:rPr>
                <w:rFonts w:eastAsia="Yu Mincho"/>
                <w:color w:val="0000FF"/>
              </w:rPr>
            </w:pPr>
            <w:r w:rsidRPr="007F71A8">
              <w:rPr>
                <w:rFonts w:eastAsia="Yu Mincho"/>
                <w:color w:val="000000"/>
              </w:rPr>
              <w:t>For RLC AM, ARQ can be conducted hop-by-hop along access and backhaul links (Figure 8.2-1b, c and 8.2-2). It is also possible to support ARQ end-to-end between UE and IAB-donor (Figure 8.2-1a). Since RLC segmentation is a just-in-time process it is always conducted in a hop-by-hop manner</w:t>
            </w:r>
            <w:r w:rsidRPr="007F71A8">
              <w:rPr>
                <w:rFonts w:eastAsia="Yu Mincho"/>
                <w:color w:val="0000FF"/>
              </w:rPr>
              <w:t xml:space="preserve">. </w:t>
            </w:r>
            <w:r w:rsidRPr="007F71A8">
              <w:rPr>
                <w:rFonts w:eastAsia="Yu Mincho"/>
              </w:rPr>
              <w:t>The figures show example protocol stacks and do not preclude other possibilities.</w:t>
            </w:r>
          </w:p>
          <w:p w:rsidR="00943431" w:rsidRPr="007F71A8" w:rsidRDefault="00943431" w:rsidP="00943431">
            <w:pPr>
              <w:rPr>
                <w:rFonts w:eastAsia="Yu Mincho"/>
                <w:color w:val="000000"/>
              </w:rPr>
            </w:pPr>
            <w:r w:rsidRPr="007F71A8">
              <w:rPr>
                <w:rFonts w:eastAsia="Yu Mincho"/>
                <w:color w:val="000000"/>
              </w:rPr>
              <w:t xml:space="preserve">The study includes hop-by-hop and end-to-end RLC ARQ. </w:t>
            </w:r>
          </w:p>
          <w:p w:rsidR="00943431" w:rsidRPr="007F71A8" w:rsidRDefault="00943431" w:rsidP="00943431">
            <w:pPr>
              <w:rPr>
                <w:rFonts w:eastAsia="Yu Mincho"/>
              </w:rPr>
            </w:pPr>
            <w:r w:rsidRPr="007F71A8">
              <w:rPr>
                <w:rFonts w:eastAsia="Yu Mincho"/>
              </w:rPr>
              <w:t>The type of multi-hop RLC ARQ and adaptation-layer placement have the following interdependence:</w:t>
            </w:r>
          </w:p>
          <w:p w:rsidR="00943431" w:rsidRPr="007F71A8" w:rsidRDefault="00943431" w:rsidP="00943431">
            <w:pPr>
              <w:numPr>
                <w:ilvl w:val="0"/>
                <w:numId w:val="32"/>
              </w:numPr>
              <w:contextualSpacing/>
              <w:rPr>
                <w:rFonts w:eastAsia="DengXian"/>
              </w:rPr>
            </w:pPr>
            <w:r w:rsidRPr="007F71A8">
              <w:rPr>
                <w:rFonts w:eastAsia="DengXian"/>
              </w:rPr>
              <w:t>End-to-end ARQ: Adaptation layer is i</w:t>
            </w:r>
            <w:r w:rsidRPr="007F71A8">
              <w:rPr>
                <w:rFonts w:eastAsia="DengXian"/>
                <w:bCs/>
                <w:color w:val="000000"/>
              </w:rPr>
              <w:t>ntegrated with MAC layer or placed above MAC layer</w:t>
            </w:r>
          </w:p>
          <w:p w:rsidR="00943431" w:rsidRDefault="00943431" w:rsidP="00943431">
            <w:pPr>
              <w:numPr>
                <w:ilvl w:val="0"/>
                <w:numId w:val="32"/>
              </w:numPr>
              <w:contextualSpacing/>
              <w:rPr>
                <w:rFonts w:eastAsia="DengXian"/>
              </w:rPr>
            </w:pPr>
            <w:r w:rsidRPr="007F71A8">
              <w:rPr>
                <w:rFonts w:eastAsia="DengXian"/>
              </w:rPr>
              <w:t>Hop-by-hop ARQ:  No interdependence</w:t>
            </w:r>
          </w:p>
          <w:p w:rsidR="00943431" w:rsidRDefault="00943431" w:rsidP="00943431">
            <w:pPr>
              <w:contextualSpacing/>
              <w:rPr>
                <w:rFonts w:eastAsia="DengXian"/>
              </w:rPr>
            </w:pPr>
          </w:p>
          <w:p w:rsidR="00943431" w:rsidRPr="00943431" w:rsidRDefault="00943431" w:rsidP="00767B46">
            <w:pPr>
              <w:contextualSpacing/>
              <w:rPr>
                <w:sz w:val="22"/>
                <w:lang w:eastAsia="ko-KR"/>
              </w:rPr>
            </w:pPr>
            <w:r w:rsidRPr="00C6560B">
              <w:rPr>
                <w:rFonts w:eastAsia="DengXian"/>
                <w:highlight w:val="yellow"/>
              </w:rPr>
              <w:t>End-to-end reliability requires further study.</w:t>
            </w:r>
            <w:r w:rsidR="00C6560B">
              <w:rPr>
                <w:rFonts w:eastAsia="DengXian"/>
              </w:rPr>
              <w:t xml:space="preserve"> </w:t>
            </w:r>
            <w:r w:rsidR="00C6560B" w:rsidRPr="00C6560B">
              <w:rPr>
                <w:rFonts w:eastAsia="DengXian"/>
                <w:color w:val="FF0000"/>
              </w:rPr>
              <w:t>(Issue1)</w:t>
            </w:r>
          </w:p>
          <w:p w:rsidR="00943431" w:rsidRDefault="00943431" w:rsidP="00767B46">
            <w:pPr>
              <w:rPr>
                <w:sz w:val="22"/>
                <w:lang w:eastAsia="ko-KR"/>
              </w:rPr>
            </w:pPr>
          </w:p>
          <w:p w:rsidR="009D3126" w:rsidRPr="007F71A8" w:rsidRDefault="009D3126" w:rsidP="009D3126">
            <w:pPr>
              <w:contextualSpacing/>
              <w:rPr>
                <w:rFonts w:eastAsia="DengXian"/>
                <w:b/>
              </w:rPr>
            </w:pPr>
            <w:r w:rsidRPr="00825408">
              <w:rPr>
                <w:b/>
              </w:rPr>
              <w:t>Observations for end-to-end and hop-by-hop ARQ</w:t>
            </w:r>
          </w:p>
          <w:tbl>
            <w:tblPr>
              <w:tblStyle w:val="a8"/>
              <w:tblW w:w="0" w:type="auto"/>
              <w:tblLook w:val="04A0" w:firstRow="1" w:lastRow="0" w:firstColumn="1" w:lastColumn="0" w:noHBand="0" w:noVBand="1"/>
            </w:tblPr>
            <w:tblGrid>
              <w:gridCol w:w="1541"/>
              <w:gridCol w:w="3330"/>
              <w:gridCol w:w="3595"/>
              <w:tblGridChange w:id="3">
                <w:tblGrid>
                  <w:gridCol w:w="1541"/>
                  <w:gridCol w:w="3330"/>
                  <w:gridCol w:w="3595"/>
                </w:tblGrid>
              </w:tblGridChange>
            </w:tblGrid>
            <w:tr w:rsidR="009D3126" w:rsidTr="004F3A9D">
              <w:tc>
                <w:tcPr>
                  <w:tcW w:w="1541" w:type="dxa"/>
                  <w:shd w:val="clear" w:color="auto" w:fill="D9D9D9" w:themeFill="background1" w:themeFillShade="D9"/>
                </w:tcPr>
                <w:p w:rsidR="009D3126" w:rsidRPr="009D3126" w:rsidRDefault="009D3126" w:rsidP="009D3126">
                  <w:pPr>
                    <w:pStyle w:val="paragraph"/>
                    <w:spacing w:before="0" w:beforeAutospacing="0"/>
                    <w:textAlignment w:val="baseline"/>
                    <w:rPr>
                      <w:rStyle w:val="eop"/>
                      <w:b/>
                      <w:sz w:val="20"/>
                      <w:szCs w:val="22"/>
                      <w:lang w:eastAsia="ko-KR"/>
                    </w:rPr>
                  </w:pPr>
                  <w:r w:rsidRPr="009D3126">
                    <w:rPr>
                      <w:rStyle w:val="eop"/>
                      <w:sz w:val="20"/>
                      <w:szCs w:val="22"/>
                      <w:lang w:eastAsia="ko-KR"/>
                    </w:rPr>
                    <w:t>Metric</w:t>
                  </w:r>
                </w:p>
              </w:tc>
              <w:tc>
                <w:tcPr>
                  <w:tcW w:w="3330" w:type="dxa"/>
                  <w:shd w:val="clear" w:color="auto" w:fill="D9D9D9" w:themeFill="background1" w:themeFillShade="D9"/>
                </w:tcPr>
                <w:p w:rsidR="009D3126" w:rsidRPr="009D3126" w:rsidRDefault="009D3126" w:rsidP="009D3126">
                  <w:pPr>
                    <w:pStyle w:val="paragraph"/>
                    <w:spacing w:before="0" w:beforeAutospacing="0"/>
                    <w:jc w:val="center"/>
                    <w:textAlignment w:val="baseline"/>
                    <w:rPr>
                      <w:rStyle w:val="eop"/>
                      <w:b/>
                      <w:sz w:val="20"/>
                      <w:szCs w:val="22"/>
                      <w:lang w:eastAsia="ko-KR"/>
                    </w:rPr>
                  </w:pPr>
                  <w:r w:rsidRPr="009D3126">
                    <w:rPr>
                      <w:rStyle w:val="eop"/>
                      <w:sz w:val="20"/>
                      <w:szCs w:val="22"/>
                      <w:lang w:eastAsia="ko-KR"/>
                    </w:rPr>
                    <w:t>Hop-by-hop RLC ARQ</w:t>
                  </w:r>
                </w:p>
              </w:tc>
              <w:tc>
                <w:tcPr>
                  <w:tcW w:w="3595" w:type="dxa"/>
                  <w:shd w:val="clear" w:color="auto" w:fill="D9D9D9" w:themeFill="background1" w:themeFillShade="D9"/>
                </w:tcPr>
                <w:p w:rsidR="009D3126" w:rsidRPr="009D3126" w:rsidRDefault="009D3126" w:rsidP="009D3126">
                  <w:pPr>
                    <w:pStyle w:val="paragraph"/>
                    <w:spacing w:before="0" w:beforeAutospacing="0"/>
                    <w:jc w:val="center"/>
                    <w:textAlignment w:val="baseline"/>
                    <w:rPr>
                      <w:rStyle w:val="eop"/>
                      <w:b/>
                      <w:sz w:val="20"/>
                      <w:szCs w:val="22"/>
                      <w:lang w:eastAsia="ko-KR"/>
                    </w:rPr>
                  </w:pPr>
                  <w:r w:rsidRPr="009D3126">
                    <w:rPr>
                      <w:rStyle w:val="eop"/>
                      <w:sz w:val="20"/>
                      <w:szCs w:val="22"/>
                      <w:lang w:eastAsia="ko-KR"/>
                    </w:rPr>
                    <w:t>End-to-end RLC ARQ</w:t>
                  </w:r>
                </w:p>
              </w:tc>
            </w:tr>
            <w:tr w:rsidR="009D3126" w:rsidTr="004F3A9D">
              <w:trPr>
                <w:trHeight w:val="845"/>
              </w:trPr>
              <w:tc>
                <w:tcPr>
                  <w:tcW w:w="1541" w:type="dxa"/>
                  <w:shd w:val="clear" w:color="auto" w:fill="F2F2F2" w:themeFill="background1" w:themeFillShade="F2"/>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Forwarding latency</w:t>
                  </w:r>
                </w:p>
              </w:tc>
              <w:tc>
                <w:tcPr>
                  <w:tcW w:w="3330" w:type="dxa"/>
                  <w:shd w:val="clear" w:color="auto" w:fill="FFCCFF"/>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Potentially higher as packets have to pass through RLC-state machine on each hop.</w:t>
                  </w:r>
                </w:p>
              </w:tc>
              <w:tc>
                <w:tcPr>
                  <w:tcW w:w="3595" w:type="dxa"/>
                  <w:shd w:val="clear" w:color="auto" w:fill="CCFFCC"/>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Potentially lower as packets do not go through the RLC state machine on intermediate IAB-nodes.</w:t>
                  </w:r>
                </w:p>
              </w:tc>
            </w:tr>
            <w:tr w:rsidR="009D3126" w:rsidTr="004F3A9D">
              <w:trPr>
                <w:trHeight w:val="890"/>
              </w:trPr>
              <w:tc>
                <w:tcPr>
                  <w:tcW w:w="1541" w:type="dxa"/>
                  <w:shd w:val="clear" w:color="auto" w:fill="F2F2F2" w:themeFill="background1" w:themeFillShade="F2"/>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Latency due to retransmission</w:t>
                  </w:r>
                </w:p>
              </w:tc>
              <w:tc>
                <w:tcPr>
                  <w:tcW w:w="3330" w:type="dxa"/>
                  <w:shd w:val="clear" w:color="auto" w:fill="CCFFCC"/>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I</w:t>
                  </w:r>
                  <w:r w:rsidRPr="009D3126">
                    <w:rPr>
                      <w:rStyle w:val="eop"/>
                      <w:sz w:val="20"/>
                      <w:lang w:eastAsia="ko-KR"/>
                    </w:rPr>
                    <w:t>ndependent of number of hops</w:t>
                  </w:r>
                </w:p>
              </w:tc>
              <w:tc>
                <w:tcPr>
                  <w:tcW w:w="3595" w:type="dxa"/>
                  <w:shd w:val="clear" w:color="auto" w:fill="FFCCFF"/>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Increases with number of hops</w:t>
                  </w:r>
                </w:p>
              </w:tc>
            </w:tr>
            <w:tr w:rsidR="009D3126" w:rsidTr="004F3A9D">
              <w:trPr>
                <w:trHeight w:val="899"/>
              </w:trPr>
              <w:tc>
                <w:tcPr>
                  <w:tcW w:w="1541" w:type="dxa"/>
                  <w:shd w:val="clear" w:color="auto" w:fill="F2F2F2" w:themeFill="background1" w:themeFillShade="F2"/>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lastRenderedPageBreak/>
                    <w:t>Capacity</w:t>
                  </w:r>
                </w:p>
              </w:tc>
              <w:tc>
                <w:tcPr>
                  <w:tcW w:w="3330" w:type="dxa"/>
                  <w:shd w:val="clear" w:color="auto" w:fill="CCFFCC"/>
                </w:tcPr>
                <w:p w:rsidR="009D3126" w:rsidRPr="009D3126" w:rsidRDefault="009D3126" w:rsidP="009D3126">
                  <w:pPr>
                    <w:pStyle w:val="paragraph"/>
                    <w:spacing w:before="0" w:beforeAutospacing="0"/>
                    <w:textAlignment w:val="baseline"/>
                    <w:rPr>
                      <w:sz w:val="20"/>
                      <w:szCs w:val="22"/>
                    </w:rPr>
                  </w:pPr>
                  <w:r w:rsidRPr="009D3126">
                    <w:rPr>
                      <w:rStyle w:val="eop"/>
                      <w:sz w:val="20"/>
                      <w:szCs w:val="22"/>
                      <w:lang w:eastAsia="ko-KR"/>
                    </w:rPr>
                    <w:t>Packet loss requires retransmission only on one link. Avoids redundant retransmission of packets over links where the packet has already been successfully transmitted.</w:t>
                  </w:r>
                </w:p>
              </w:tc>
              <w:tc>
                <w:tcPr>
                  <w:tcW w:w="3595" w:type="dxa"/>
                  <w:shd w:val="clear" w:color="auto" w:fill="FFCCFF"/>
                </w:tcPr>
                <w:p w:rsidR="009D3126" w:rsidRPr="009D3126" w:rsidRDefault="009D3126" w:rsidP="009D3126">
                  <w:pPr>
                    <w:pStyle w:val="paragraph"/>
                    <w:spacing w:before="0" w:beforeAutospacing="0"/>
                    <w:textAlignment w:val="baseline"/>
                    <w:rPr>
                      <w:sz w:val="20"/>
                      <w:szCs w:val="22"/>
                    </w:rPr>
                  </w:pPr>
                  <w:r w:rsidRPr="009D3126">
                    <w:rPr>
                      <w:rStyle w:val="eop"/>
                      <w:sz w:val="20"/>
                      <w:szCs w:val="22"/>
                      <w:lang w:eastAsia="ko-KR"/>
                    </w:rPr>
                    <w:t xml:space="preserve">Packet loss may imply retransmission on multiple links, including those where the packet was already successfully transmitted. </w:t>
                  </w:r>
                </w:p>
              </w:tc>
            </w:tr>
            <w:tr w:rsidR="009D3126" w:rsidTr="004F3A9D">
              <w:trPr>
                <w:trHeight w:val="899"/>
              </w:trPr>
              <w:tc>
                <w:tcPr>
                  <w:tcW w:w="1541" w:type="dxa"/>
                  <w:shd w:val="clear" w:color="auto" w:fill="F2F2F2" w:themeFill="background1" w:themeFillShade="F2"/>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Hop count limitation due to RLC parameters</w:t>
                  </w:r>
                </w:p>
              </w:tc>
              <w:tc>
                <w:tcPr>
                  <w:tcW w:w="3330" w:type="dxa"/>
                  <w:shd w:val="clear" w:color="auto" w:fill="CCFFCC"/>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Hop count is not affected by max window size.</w:t>
                  </w:r>
                </w:p>
                <w:p w:rsidR="009D3126" w:rsidRPr="009D3126" w:rsidRDefault="009D3126" w:rsidP="009D3126">
                  <w:pPr>
                    <w:pStyle w:val="paragraph"/>
                    <w:spacing w:before="0" w:beforeAutospacing="0"/>
                    <w:textAlignment w:val="baseline"/>
                    <w:rPr>
                      <w:rStyle w:val="eop"/>
                      <w:sz w:val="20"/>
                      <w:szCs w:val="22"/>
                      <w:lang w:eastAsia="ko-KR"/>
                    </w:rPr>
                  </w:pPr>
                </w:p>
              </w:tc>
              <w:tc>
                <w:tcPr>
                  <w:tcW w:w="3595" w:type="dxa"/>
                  <w:shd w:val="clear" w:color="auto" w:fill="FFCCFF"/>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Hop count may be limited by the end-to-end RLC latency due to max window size.</w:t>
                  </w:r>
                </w:p>
              </w:tc>
            </w:tr>
            <w:tr w:rsidR="009D3126" w:rsidTr="004F3A9D">
              <w:trPr>
                <w:trHeight w:val="1151"/>
              </w:trPr>
              <w:tc>
                <w:tcPr>
                  <w:tcW w:w="1541" w:type="dxa"/>
                  <w:shd w:val="clear" w:color="auto" w:fill="F2F2F2" w:themeFill="background1" w:themeFillShade="F2"/>
                </w:tcPr>
                <w:p w:rsidR="009D3126" w:rsidRPr="009D3126" w:rsidRDefault="009D3126" w:rsidP="00C6560B">
                  <w:pPr>
                    <w:pStyle w:val="paragraph"/>
                    <w:spacing w:before="0" w:beforeAutospacing="0"/>
                    <w:textAlignment w:val="baseline"/>
                    <w:rPr>
                      <w:rStyle w:val="eop"/>
                      <w:sz w:val="20"/>
                      <w:szCs w:val="22"/>
                      <w:lang w:eastAsia="ko-KR"/>
                    </w:rPr>
                  </w:pPr>
                  <w:r w:rsidRPr="00C6560B">
                    <w:rPr>
                      <w:rStyle w:val="eop"/>
                      <w:sz w:val="20"/>
                      <w:szCs w:val="22"/>
                      <w:highlight w:val="yellow"/>
                      <w:lang w:eastAsia="ko-KR"/>
                    </w:rPr>
                    <w:t>Hop count limitation due to PCDP parameters</w:t>
                  </w:r>
                  <w:r w:rsidR="00C6560B">
                    <w:rPr>
                      <w:rStyle w:val="eop"/>
                      <w:sz w:val="20"/>
                      <w:szCs w:val="22"/>
                      <w:lang w:eastAsia="ko-KR"/>
                    </w:rPr>
                    <w:t xml:space="preserve"> </w:t>
                  </w:r>
                  <w:r w:rsidR="00C6560B" w:rsidRPr="00C6560B">
                    <w:rPr>
                      <w:rStyle w:val="eop"/>
                      <w:color w:val="FF0000"/>
                      <w:sz w:val="20"/>
                      <w:szCs w:val="22"/>
                      <w:lang w:eastAsia="ko-KR"/>
                    </w:rPr>
                    <w:t>(Issue2)</w:t>
                  </w:r>
                </w:p>
              </w:tc>
              <w:tc>
                <w:tcPr>
                  <w:tcW w:w="3330" w:type="dxa"/>
                  <w:shd w:val="clear" w:color="auto" w:fill="FFCCFF"/>
                </w:tcPr>
                <w:p w:rsidR="009D3126" w:rsidRPr="009D3126" w:rsidRDefault="009D3126" w:rsidP="009D3126">
                  <w:pPr>
                    <w:pStyle w:val="paragraph"/>
                    <w:spacing w:before="0" w:beforeAutospacing="0"/>
                    <w:textAlignment w:val="baseline"/>
                    <w:rPr>
                      <w:sz w:val="20"/>
                      <w:szCs w:val="22"/>
                    </w:rPr>
                  </w:pPr>
                  <w:r w:rsidRPr="009D3126">
                    <w:rPr>
                      <w:rStyle w:val="eop"/>
                      <w:sz w:val="20"/>
                      <w:szCs w:val="22"/>
                      <w:lang w:eastAsia="ko-KR"/>
                    </w:rPr>
                    <w:t>Hop count may be limited by increasing disorder of PDCP PDUs over sequential RLC ARQ hops. This may increase probability to exceed max PDCP window size.</w:t>
                  </w:r>
                </w:p>
              </w:tc>
              <w:tc>
                <w:tcPr>
                  <w:tcW w:w="3595" w:type="dxa"/>
                  <w:shd w:val="clear" w:color="auto" w:fill="CCFFCC"/>
                </w:tcPr>
                <w:p w:rsidR="009D3126" w:rsidRPr="009D3126" w:rsidRDefault="009D3126" w:rsidP="009D3126">
                  <w:pPr>
                    <w:pStyle w:val="paragraph"/>
                    <w:spacing w:before="0" w:beforeAutospacing="0"/>
                    <w:textAlignment w:val="baseline"/>
                    <w:rPr>
                      <w:sz w:val="20"/>
                      <w:szCs w:val="22"/>
                    </w:rPr>
                  </w:pPr>
                  <w:r w:rsidRPr="009D3126">
                    <w:rPr>
                      <w:rStyle w:val="eop"/>
                      <w:sz w:val="20"/>
                      <w:szCs w:val="22"/>
                      <w:lang w:eastAsia="ko-KR"/>
                    </w:rPr>
                    <w:t xml:space="preserve">Hop count does not impact disorder of PDCP PDUs due to RLC ARQ. </w:t>
                  </w:r>
                </w:p>
              </w:tc>
            </w:tr>
            <w:tr w:rsidR="009D3126" w:rsidTr="004F3A9D">
              <w:trPr>
                <w:trHeight w:val="1151"/>
              </w:trPr>
              <w:tc>
                <w:tcPr>
                  <w:tcW w:w="1541" w:type="dxa"/>
                  <w:shd w:val="clear" w:color="auto" w:fill="F2F2F2" w:themeFill="background1" w:themeFillShade="F2"/>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Processing and memory impact on intermediate IAB-nodes</w:t>
                  </w:r>
                </w:p>
              </w:tc>
              <w:tc>
                <w:tcPr>
                  <w:tcW w:w="3330" w:type="dxa"/>
                  <w:shd w:val="clear" w:color="auto" w:fill="FFCCFF"/>
                </w:tcPr>
                <w:p w:rsidR="009D3126" w:rsidRPr="009D3126" w:rsidRDefault="009D3126" w:rsidP="009D3126">
                  <w:pPr>
                    <w:pStyle w:val="paragraph"/>
                    <w:spacing w:before="0" w:beforeAutospacing="0"/>
                    <w:textAlignment w:val="baseline"/>
                    <w:rPr>
                      <w:rStyle w:val="eop"/>
                      <w:sz w:val="20"/>
                      <w:szCs w:val="22"/>
                      <w:lang w:eastAsia="ko-KR"/>
                    </w:rPr>
                  </w:pPr>
                  <w:r w:rsidRPr="009D3126">
                    <w:rPr>
                      <w:sz w:val="20"/>
                      <w:szCs w:val="22"/>
                    </w:rPr>
                    <w:t xml:space="preserve">Larger since processing and memory is required on intermediate IAB-nodes. </w:t>
                  </w:r>
                </w:p>
              </w:tc>
              <w:tc>
                <w:tcPr>
                  <w:tcW w:w="3595" w:type="dxa"/>
                  <w:shd w:val="clear" w:color="auto" w:fill="CCFFCC"/>
                </w:tcPr>
                <w:p w:rsidR="009D3126" w:rsidRPr="009D3126" w:rsidRDefault="009D3126" w:rsidP="009D3126">
                  <w:pPr>
                    <w:pStyle w:val="paragraph"/>
                    <w:spacing w:before="0" w:beforeAutospacing="0"/>
                    <w:textAlignment w:val="baseline"/>
                    <w:rPr>
                      <w:rStyle w:val="eop"/>
                      <w:sz w:val="20"/>
                      <w:szCs w:val="22"/>
                      <w:lang w:eastAsia="ko-KR"/>
                    </w:rPr>
                  </w:pPr>
                  <w:r w:rsidRPr="009D3126">
                    <w:rPr>
                      <w:sz w:val="20"/>
                      <w:szCs w:val="22"/>
                    </w:rPr>
                    <w:t>Smaller since intermediate path-nodes do not need ARQ state machine and flow window.</w:t>
                  </w:r>
                </w:p>
              </w:tc>
            </w:tr>
            <w:tr w:rsidR="009D3126" w:rsidTr="004F3A9D">
              <w:trPr>
                <w:trHeight w:val="602"/>
              </w:trPr>
              <w:tc>
                <w:tcPr>
                  <w:tcW w:w="1541" w:type="dxa"/>
                  <w:shd w:val="clear" w:color="auto" w:fill="F2F2F2" w:themeFill="background1" w:themeFillShade="F2"/>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RLC specification impact</w:t>
                  </w:r>
                </w:p>
              </w:tc>
              <w:tc>
                <w:tcPr>
                  <w:tcW w:w="3330" w:type="dxa"/>
                  <w:shd w:val="clear" w:color="auto" w:fill="CCFFCC"/>
                </w:tcPr>
                <w:p w:rsidR="009D3126" w:rsidRPr="009D3126" w:rsidRDefault="009D3126" w:rsidP="009D3126">
                  <w:pPr>
                    <w:pStyle w:val="ListParagraph2"/>
                    <w:spacing w:after="100" w:afterAutospacing="1"/>
                    <w:ind w:left="0"/>
                    <w:rPr>
                      <w:rStyle w:val="eop"/>
                      <w:rFonts w:ascii="Times New Roman" w:hAnsi="Times New Roman"/>
                      <w:szCs w:val="22"/>
                      <w:lang w:val="en-US"/>
                    </w:rPr>
                  </w:pPr>
                  <w:r w:rsidRPr="009D3126">
                    <w:rPr>
                      <w:rStyle w:val="eop"/>
                      <w:rFonts w:ascii="Times New Roman" w:hAnsi="Times New Roman"/>
                      <w:szCs w:val="22"/>
                    </w:rPr>
                    <w:t>No stage-3 impact expected</w:t>
                  </w:r>
                </w:p>
              </w:tc>
              <w:tc>
                <w:tcPr>
                  <w:tcW w:w="3595" w:type="dxa"/>
                  <w:shd w:val="clear" w:color="auto" w:fill="FFCCFF"/>
                </w:tcPr>
                <w:p w:rsidR="009D3126" w:rsidRPr="009D3126" w:rsidRDefault="009D3126" w:rsidP="009D3126">
                  <w:pPr>
                    <w:pStyle w:val="ListParagraph2"/>
                    <w:spacing w:after="100" w:afterAutospacing="1"/>
                    <w:ind w:left="0"/>
                    <w:rPr>
                      <w:rStyle w:val="eop"/>
                      <w:rFonts w:ascii="Times New Roman" w:hAnsi="Times New Roman"/>
                      <w:szCs w:val="22"/>
                      <w:lang w:val="en-US"/>
                    </w:rPr>
                  </w:pPr>
                  <w:r w:rsidRPr="009D3126">
                    <w:rPr>
                      <w:rStyle w:val="eop"/>
                      <w:rFonts w:ascii="Times New Roman" w:hAnsi="Times New Roman"/>
                      <w:szCs w:val="22"/>
                    </w:rPr>
                    <w:t>Potential stage-3 impact</w:t>
                  </w:r>
                  <w:r w:rsidRPr="009D3126">
                    <w:rPr>
                      <w:rStyle w:val="eop"/>
                      <w:rFonts w:ascii="Times New Roman" w:hAnsi="Times New Roman"/>
                      <w:lang w:eastAsia="ko-KR"/>
                    </w:rPr>
                    <w:t xml:space="preserve"> </w:t>
                  </w:r>
                </w:p>
              </w:tc>
            </w:tr>
            <w:tr w:rsidR="009D3126" w:rsidTr="004F3A9D">
              <w:trPr>
                <w:trHeight w:val="1115"/>
              </w:trPr>
              <w:tc>
                <w:tcPr>
                  <w:tcW w:w="1541" w:type="dxa"/>
                  <w:shd w:val="clear" w:color="auto" w:fill="F2F2F2" w:themeFill="background1" w:themeFillShade="F2"/>
                </w:tcPr>
                <w:p w:rsidR="009D3126" w:rsidRPr="009D3126" w:rsidRDefault="009D3126" w:rsidP="009D3126">
                  <w:pPr>
                    <w:pStyle w:val="paragraph"/>
                    <w:spacing w:before="0" w:beforeAutospacing="0"/>
                    <w:textAlignment w:val="baseline"/>
                    <w:rPr>
                      <w:rStyle w:val="eop"/>
                      <w:dstrike/>
                      <w:sz w:val="20"/>
                      <w:szCs w:val="22"/>
                      <w:u w:val="single"/>
                      <w:lang w:eastAsia="ko-KR"/>
                    </w:rPr>
                  </w:pPr>
                  <w:r w:rsidRPr="009D3126">
                    <w:rPr>
                      <w:rStyle w:val="eop"/>
                      <w:sz w:val="20"/>
                      <w:szCs w:val="22"/>
                      <w:lang w:eastAsia="ko-KR"/>
                    </w:rPr>
                    <w:t>Operational impact for IAB-node to IAB-donor upgrades</w:t>
                  </w:r>
                </w:p>
              </w:tc>
              <w:tc>
                <w:tcPr>
                  <w:tcW w:w="3330" w:type="dxa"/>
                  <w:shd w:val="clear" w:color="auto" w:fill="CCFFCC"/>
                </w:tcPr>
                <w:p w:rsidR="009D3126" w:rsidRPr="009D3126" w:rsidRDefault="009D3126" w:rsidP="009D3126">
                  <w:pPr>
                    <w:pStyle w:val="paragraph"/>
                    <w:spacing w:before="0" w:beforeAutospacing="0"/>
                    <w:textAlignment w:val="baseline"/>
                    <w:rPr>
                      <w:rStyle w:val="eop"/>
                      <w:dstrike/>
                      <w:sz w:val="20"/>
                      <w:szCs w:val="22"/>
                      <w:u w:val="single"/>
                      <w:lang w:eastAsia="ko-KR"/>
                    </w:rPr>
                  </w:pPr>
                  <w:r w:rsidRPr="009D3126">
                    <w:rPr>
                      <w:rStyle w:val="eop"/>
                      <w:sz w:val="20"/>
                      <w:szCs w:val="22"/>
                      <w:lang w:eastAsia="ko-KR"/>
                    </w:rPr>
                    <w:t xml:space="preserve">IAB-nodes and IAB-donors use the same hop-by-hop RLC ARQ. As a result, this functionality is completely unaffected by the upgrade of IAB-node to IAB-donor at availability of fiber, potentially reducing the effort required to confirm proper operation. </w:t>
                  </w:r>
                </w:p>
              </w:tc>
              <w:tc>
                <w:tcPr>
                  <w:tcW w:w="3595" w:type="dxa"/>
                  <w:shd w:val="clear" w:color="auto" w:fill="FFCCFF"/>
                </w:tcPr>
                <w:p w:rsidR="009D3126" w:rsidRPr="009D3126" w:rsidRDefault="009D3126" w:rsidP="009D3126">
                  <w:pPr>
                    <w:pStyle w:val="paragraph"/>
                    <w:spacing w:before="0" w:beforeAutospacing="0"/>
                    <w:textAlignment w:val="baseline"/>
                    <w:rPr>
                      <w:rStyle w:val="eop"/>
                      <w:dstrike/>
                      <w:sz w:val="20"/>
                      <w:szCs w:val="22"/>
                      <w:u w:val="single"/>
                      <w:lang w:eastAsia="ko-KR"/>
                    </w:rPr>
                  </w:pPr>
                  <w:r w:rsidRPr="009D3126">
                    <w:rPr>
                      <w:rStyle w:val="eop"/>
                      <w:sz w:val="20"/>
                      <w:szCs w:val="22"/>
                      <w:lang w:eastAsia="ko-KR"/>
                    </w:rPr>
                    <w:t>End-to-end RLC ARQ results in a greater architectural difference between IAB nodes vs. IAB donor nodes. As a result, additional effort may be required to complete an upgrade of an IAB node to an IAB donor upon availability of fiber.</w:t>
                  </w:r>
                </w:p>
              </w:tc>
            </w:tr>
            <w:tr w:rsidR="009D3126" w:rsidTr="004F3A9D">
              <w:tblPrEx>
                <w:tblW w:w="0" w:type="auto"/>
                <w:tblPrExChange w:id="4" w:author="Georg Hampel" w:date="2018-05-31T09:26:00Z">
                  <w:tblPrEx>
                    <w:tblW w:w="0" w:type="auto"/>
                  </w:tblPrEx>
                </w:tblPrExChange>
              </w:tblPrEx>
              <w:trPr>
                <w:trHeight w:val="692"/>
              </w:trPr>
              <w:tc>
                <w:tcPr>
                  <w:tcW w:w="1541" w:type="dxa"/>
                  <w:shd w:val="clear" w:color="auto" w:fill="F2F2F2" w:themeFill="background1" w:themeFillShade="F2"/>
                  <w:tcPrChange w:id="5" w:author="Georg Hampel" w:date="2018-05-31T09:26:00Z">
                    <w:tcPr>
                      <w:tcW w:w="1541" w:type="dxa"/>
                      <w:shd w:val="clear" w:color="auto" w:fill="F2F2F2" w:themeFill="background1" w:themeFillShade="F2"/>
                    </w:tcPr>
                  </w:tcPrChange>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Configuration complexity</w:t>
                  </w:r>
                </w:p>
              </w:tc>
              <w:tc>
                <w:tcPr>
                  <w:tcW w:w="3330" w:type="dxa"/>
                  <w:shd w:val="clear" w:color="auto" w:fill="CCFFCC"/>
                  <w:tcPrChange w:id="6" w:author="Georg Hampel" w:date="2018-05-31T09:26:00Z">
                    <w:tcPr>
                      <w:tcW w:w="3330" w:type="dxa"/>
                      <w:shd w:val="clear" w:color="auto" w:fill="CCFFCC"/>
                    </w:tcPr>
                  </w:tcPrChange>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RLC timers are not dependent on hop-count.</w:t>
                  </w:r>
                </w:p>
              </w:tc>
              <w:tc>
                <w:tcPr>
                  <w:tcW w:w="3595" w:type="dxa"/>
                  <w:shd w:val="clear" w:color="auto" w:fill="FFCCFF"/>
                  <w:tcPrChange w:id="7" w:author="Georg Hampel" w:date="2018-05-31T09:26:00Z">
                    <w:tcPr>
                      <w:tcW w:w="3595" w:type="dxa"/>
                      <w:shd w:val="clear" w:color="auto" w:fill="FFCCFF"/>
                    </w:tcPr>
                  </w:tcPrChange>
                </w:tcPr>
                <w:p w:rsidR="009D3126" w:rsidRPr="009D3126" w:rsidRDefault="009D3126" w:rsidP="009D3126">
                  <w:pPr>
                    <w:pStyle w:val="paragraph"/>
                    <w:spacing w:before="0" w:beforeAutospacing="0"/>
                    <w:textAlignment w:val="baseline"/>
                    <w:rPr>
                      <w:rStyle w:val="eop"/>
                      <w:sz w:val="20"/>
                      <w:szCs w:val="22"/>
                      <w:lang w:eastAsia="ko-KR"/>
                    </w:rPr>
                  </w:pPr>
                  <w:r w:rsidRPr="009D3126">
                    <w:rPr>
                      <w:rStyle w:val="eop"/>
                      <w:sz w:val="20"/>
                      <w:szCs w:val="22"/>
                      <w:lang w:eastAsia="ko-KR"/>
                    </w:rPr>
                    <w:t xml:space="preserve">RLC timers become hop-count dependent. </w:t>
                  </w:r>
                </w:p>
              </w:tc>
            </w:tr>
          </w:tbl>
          <w:p w:rsidR="009D3126" w:rsidRDefault="009D3126" w:rsidP="00767B46">
            <w:pPr>
              <w:rPr>
                <w:sz w:val="22"/>
                <w:lang w:eastAsia="ko-KR"/>
              </w:rPr>
            </w:pPr>
          </w:p>
        </w:tc>
      </w:tr>
    </w:tbl>
    <w:p w:rsidR="00382872" w:rsidRPr="00382872" w:rsidRDefault="00382872" w:rsidP="00767B46">
      <w:pPr>
        <w:rPr>
          <w:sz w:val="22"/>
          <w:lang w:eastAsia="ko-KR"/>
        </w:rPr>
      </w:pPr>
    </w:p>
    <w:p w:rsidR="00C6560B" w:rsidRPr="00C6560B" w:rsidRDefault="00C6560B" w:rsidP="00767B46">
      <w:pPr>
        <w:rPr>
          <w:sz w:val="22"/>
          <w:u w:val="single"/>
          <w:lang w:val="en-US" w:eastAsia="ko-KR"/>
        </w:rPr>
      </w:pPr>
      <w:r w:rsidRPr="00C6560B">
        <w:rPr>
          <w:rFonts w:hint="eastAsia"/>
          <w:sz w:val="22"/>
          <w:u w:val="single"/>
          <w:lang w:val="en-US" w:eastAsia="ko-KR"/>
        </w:rPr>
        <w:t>Issue 1</w:t>
      </w:r>
      <w:r w:rsidRPr="00C6560B">
        <w:rPr>
          <w:sz w:val="22"/>
          <w:u w:val="single"/>
          <w:lang w:val="en-US" w:eastAsia="ko-KR"/>
        </w:rPr>
        <w:t>: End-to-end reliability</w:t>
      </w:r>
    </w:p>
    <w:p w:rsidR="00C6560B" w:rsidRDefault="00C6560B" w:rsidP="00767B46">
      <w:pPr>
        <w:rPr>
          <w:sz w:val="22"/>
          <w:lang w:val="en-US" w:eastAsia="ko-KR"/>
        </w:rPr>
      </w:pPr>
      <w:r>
        <w:rPr>
          <w:rFonts w:hint="eastAsia"/>
          <w:sz w:val="22"/>
          <w:lang w:val="en-US" w:eastAsia="ko-KR"/>
        </w:rPr>
        <w:t xml:space="preserve">Some companies think that the hop-by-hop </w:t>
      </w:r>
      <w:r>
        <w:rPr>
          <w:sz w:val="22"/>
          <w:lang w:val="en-US" w:eastAsia="ko-KR"/>
        </w:rPr>
        <w:t>ARQ has less end-to-end reliability compared to the end-to-end ARQ</w:t>
      </w:r>
      <w:r w:rsidR="00C53225">
        <w:rPr>
          <w:sz w:val="22"/>
          <w:lang w:val="en-US" w:eastAsia="ko-KR"/>
        </w:rPr>
        <w:t>,</w:t>
      </w:r>
      <w:r>
        <w:rPr>
          <w:sz w:val="22"/>
          <w:lang w:val="en-US" w:eastAsia="ko-KR"/>
        </w:rPr>
        <w:t xml:space="preserve"> because the PDCP discards the PDCP SDU based on the RLC ACK, and the ACKed PDCP PDU may be lost in the later hop.</w:t>
      </w:r>
    </w:p>
    <w:p w:rsidR="00C6560B" w:rsidRDefault="00C6560B" w:rsidP="00767B46">
      <w:pPr>
        <w:rPr>
          <w:sz w:val="22"/>
          <w:lang w:val="en-US" w:eastAsia="ko-KR"/>
        </w:rPr>
      </w:pPr>
      <w:r>
        <w:rPr>
          <w:sz w:val="22"/>
          <w:lang w:val="en-US" w:eastAsia="ko-KR"/>
        </w:rPr>
        <w:t>However, it is not true, because the PDCP does NOT discard PDCP SDU based on the RLC ACK.</w:t>
      </w:r>
      <w:r w:rsidR="00C53225">
        <w:rPr>
          <w:sz w:val="22"/>
          <w:lang w:val="en-US" w:eastAsia="ko-KR"/>
        </w:rPr>
        <w:t xml:space="preserve"> This is intended behavior inherited from LTE with the reason that RLC ACK does not guarantee successful header decompression. Thus, the PDCP is allowed to discard PDCP SDU only when the discard timer expires or successful delivery is confirmed by the PDCP status report.</w:t>
      </w:r>
      <w:r w:rsidR="00D457D4">
        <w:rPr>
          <w:sz w:val="22"/>
          <w:lang w:val="en-US" w:eastAsia="ko-KR"/>
        </w:rPr>
        <w:t xml:space="preserve"> This behavior is well specified in 38.323 (and 36.323 as well) as shown below. </w:t>
      </w:r>
    </w:p>
    <w:tbl>
      <w:tblPr>
        <w:tblStyle w:val="a8"/>
        <w:tblW w:w="0" w:type="auto"/>
        <w:tblLook w:val="04A0" w:firstRow="1" w:lastRow="0" w:firstColumn="1" w:lastColumn="0" w:noHBand="0" w:noVBand="1"/>
      </w:tblPr>
      <w:tblGrid>
        <w:gridCol w:w="9631"/>
      </w:tblGrid>
      <w:tr w:rsidR="00D457D4" w:rsidTr="00D457D4">
        <w:tc>
          <w:tcPr>
            <w:tcW w:w="9631" w:type="dxa"/>
          </w:tcPr>
          <w:p w:rsidR="00D457D4" w:rsidRDefault="00D457D4" w:rsidP="00767B46">
            <w:pPr>
              <w:rPr>
                <w:sz w:val="22"/>
                <w:lang w:val="en-US" w:eastAsia="ko-KR"/>
              </w:rPr>
            </w:pPr>
          </w:p>
          <w:p w:rsidR="00D457D4" w:rsidRPr="00AD16EB" w:rsidRDefault="00D457D4" w:rsidP="00D457D4">
            <w:pPr>
              <w:pStyle w:val="2"/>
            </w:pPr>
            <w:bookmarkStart w:id="8" w:name="_Toc510395171"/>
            <w:r w:rsidRPr="00AD16EB">
              <w:t>5.3</w:t>
            </w:r>
            <w:r w:rsidRPr="00AD16EB">
              <w:tab/>
              <w:t>SDU discard</w:t>
            </w:r>
            <w:bookmarkEnd w:id="8"/>
          </w:p>
          <w:p w:rsidR="00D457D4" w:rsidRPr="00D457D4" w:rsidRDefault="00D457D4" w:rsidP="00767B46">
            <w:pPr>
              <w:rPr>
                <w:sz w:val="22"/>
                <w:lang w:eastAsia="ko-KR"/>
              </w:rPr>
            </w:pPr>
            <w:r w:rsidRPr="00AD16EB">
              <w:t xml:space="preserve">When the </w:t>
            </w:r>
            <w:r w:rsidRPr="00AD16EB">
              <w:rPr>
                <w:i/>
              </w:rPr>
              <w:t>discardTimer</w:t>
            </w:r>
            <w:r w:rsidRPr="00AD16EB">
              <w:t xml:space="preserve"> expires for a PDCP SDU</w:t>
            </w:r>
            <w:r w:rsidRPr="00AD16EB">
              <w:rPr>
                <w:lang w:eastAsia="ko-KR"/>
              </w:rPr>
              <w:t>,</w:t>
            </w:r>
            <w:r w:rsidRPr="00AD16EB">
              <w:t xml:space="preserve"> </w:t>
            </w:r>
            <w:r w:rsidRPr="00AD16EB">
              <w:rPr>
                <w:lang w:eastAsia="ko-KR"/>
              </w:rPr>
              <w:t xml:space="preserve">or the successful delivery of a PDCP SDU is confirmed by PDCP status report, </w:t>
            </w:r>
            <w:r w:rsidRPr="00AD16EB">
              <w:t xml:space="preserve">the transmitting PDCP entity shall discard the PDCP </w:t>
            </w:r>
            <w:r w:rsidRPr="00AD16EB">
              <w:rPr>
                <w:lang w:eastAsia="ko-KR"/>
              </w:rPr>
              <w:t>S</w:t>
            </w:r>
            <w:r w:rsidRPr="00AD16EB">
              <w:t xml:space="preserve">DU along with the corresponding PDCP </w:t>
            </w:r>
            <w:r w:rsidRPr="00AD16EB">
              <w:rPr>
                <w:lang w:eastAsia="ko-KR"/>
              </w:rPr>
              <w:t>Data P</w:t>
            </w:r>
            <w:r w:rsidRPr="00AD16EB">
              <w:t xml:space="preserve">DU. If the corresponding PDCP </w:t>
            </w:r>
            <w:r w:rsidRPr="00AD16EB">
              <w:rPr>
                <w:lang w:eastAsia="ko-KR"/>
              </w:rPr>
              <w:t>Data</w:t>
            </w:r>
            <w:r w:rsidRPr="00AD16EB">
              <w:t xml:space="preserve"> PDU has already been submitted to lower layers, the discard is indicated to lower layers.</w:t>
            </w:r>
          </w:p>
          <w:p w:rsidR="00D457D4" w:rsidRDefault="00D457D4" w:rsidP="00767B46">
            <w:pPr>
              <w:rPr>
                <w:sz w:val="22"/>
                <w:lang w:val="en-US" w:eastAsia="ko-KR"/>
              </w:rPr>
            </w:pPr>
          </w:p>
        </w:tc>
      </w:tr>
    </w:tbl>
    <w:p w:rsidR="00C6560B" w:rsidRDefault="000B5DFF" w:rsidP="00767B46">
      <w:pPr>
        <w:rPr>
          <w:sz w:val="22"/>
          <w:lang w:val="en-US" w:eastAsia="ko-KR"/>
        </w:rPr>
      </w:pPr>
      <w:r>
        <w:rPr>
          <w:rFonts w:hint="eastAsia"/>
          <w:sz w:val="22"/>
          <w:lang w:val="en-US" w:eastAsia="ko-KR"/>
        </w:rPr>
        <w:t>Therefore, from the reliability point of view, there is no difference between two options.</w:t>
      </w:r>
    </w:p>
    <w:p w:rsidR="000B5DFF" w:rsidRPr="000B5DFF" w:rsidRDefault="00ED49C4" w:rsidP="00767B46">
      <w:pPr>
        <w:rPr>
          <w:b/>
          <w:sz w:val="22"/>
          <w:lang w:val="en-US" w:eastAsia="ko-KR"/>
        </w:rPr>
      </w:pPr>
      <w:r>
        <w:rPr>
          <w:b/>
          <w:sz w:val="22"/>
          <w:lang w:val="en-US" w:eastAsia="ko-KR"/>
        </w:rPr>
        <w:t>Observation</w:t>
      </w:r>
      <w:r w:rsidR="000B5DFF" w:rsidRPr="000B5DFF">
        <w:rPr>
          <w:b/>
          <w:sz w:val="22"/>
          <w:lang w:val="en-US" w:eastAsia="ko-KR"/>
        </w:rPr>
        <w:t xml:space="preserve"> 1: </w:t>
      </w:r>
      <w:r>
        <w:rPr>
          <w:b/>
          <w:sz w:val="22"/>
          <w:lang w:val="en-US" w:eastAsia="ko-KR"/>
        </w:rPr>
        <w:t>F</w:t>
      </w:r>
      <w:r w:rsidR="000B5DFF" w:rsidRPr="000B5DFF">
        <w:rPr>
          <w:b/>
          <w:sz w:val="22"/>
          <w:lang w:val="en-US" w:eastAsia="ko-KR"/>
        </w:rPr>
        <w:t>rom the end-to-end reliability point of view, there is no difference between hop-by-hop ARQ and end-to-end ARQ.</w:t>
      </w:r>
    </w:p>
    <w:p w:rsidR="00C6560B" w:rsidRPr="00C6560B" w:rsidRDefault="00C6560B" w:rsidP="00767B46">
      <w:pPr>
        <w:rPr>
          <w:sz w:val="22"/>
          <w:u w:val="single"/>
          <w:lang w:val="en-US" w:eastAsia="ko-KR"/>
        </w:rPr>
      </w:pPr>
      <w:r w:rsidRPr="00C6560B">
        <w:rPr>
          <w:rFonts w:hint="eastAsia"/>
          <w:sz w:val="22"/>
          <w:u w:val="single"/>
          <w:lang w:val="en-US" w:eastAsia="ko-KR"/>
        </w:rPr>
        <w:lastRenderedPageBreak/>
        <w:t xml:space="preserve">Issue 2: </w:t>
      </w:r>
      <w:r w:rsidRPr="00C6560B">
        <w:rPr>
          <w:sz w:val="22"/>
          <w:u w:val="single"/>
          <w:lang w:val="en-US" w:eastAsia="ko-KR"/>
        </w:rPr>
        <w:t>Hop count limitation due to PDCP parameters</w:t>
      </w:r>
    </w:p>
    <w:p w:rsidR="00C6560B" w:rsidRDefault="005F7C0F" w:rsidP="00767B46">
      <w:pPr>
        <w:rPr>
          <w:sz w:val="22"/>
          <w:lang w:val="en-US" w:eastAsia="ko-KR"/>
        </w:rPr>
      </w:pPr>
      <w:r>
        <w:rPr>
          <w:rFonts w:hint="eastAsia"/>
          <w:sz w:val="22"/>
          <w:lang w:val="en-US" w:eastAsia="ko-KR"/>
        </w:rPr>
        <w:t xml:space="preserve">For hop-by-hop ARQ, it is analyzed that </w:t>
      </w:r>
      <w:r>
        <w:rPr>
          <w:sz w:val="22"/>
          <w:lang w:val="en-US" w:eastAsia="ko-KR"/>
        </w:rPr>
        <w:t>the h</w:t>
      </w:r>
      <w:r w:rsidRPr="005F7C0F">
        <w:rPr>
          <w:sz w:val="22"/>
          <w:lang w:val="en-US" w:eastAsia="ko-KR"/>
        </w:rPr>
        <w:t xml:space="preserve">op count may be limited by increasing disorder of PDCP PDUs over sequential RLC ARQ hops. </w:t>
      </w:r>
      <w:r>
        <w:rPr>
          <w:sz w:val="22"/>
          <w:lang w:val="en-US" w:eastAsia="ko-KR"/>
        </w:rPr>
        <w:t>Consequently, t</w:t>
      </w:r>
      <w:r w:rsidRPr="005F7C0F">
        <w:rPr>
          <w:sz w:val="22"/>
          <w:lang w:val="en-US" w:eastAsia="ko-KR"/>
        </w:rPr>
        <w:t>his may increase probability to exceed max PDCP window size.</w:t>
      </w:r>
      <w:r>
        <w:rPr>
          <w:sz w:val="22"/>
          <w:lang w:val="en-US" w:eastAsia="ko-KR"/>
        </w:rPr>
        <w:t xml:space="preserve"> </w:t>
      </w:r>
    </w:p>
    <w:p w:rsidR="00D735C9" w:rsidRDefault="00D735C9" w:rsidP="00767B46">
      <w:pPr>
        <w:rPr>
          <w:sz w:val="22"/>
          <w:lang w:val="en-US" w:eastAsia="ko-KR"/>
        </w:rPr>
      </w:pPr>
      <w:r>
        <w:rPr>
          <w:rFonts w:hint="eastAsia"/>
          <w:sz w:val="22"/>
          <w:lang w:val="en-US" w:eastAsia="ko-KR"/>
        </w:rPr>
        <w:t xml:space="preserve">The </w:t>
      </w:r>
      <w:r>
        <w:rPr>
          <w:sz w:val="22"/>
          <w:lang w:val="en-US" w:eastAsia="ko-KR"/>
        </w:rPr>
        <w:t xml:space="preserve">current </w:t>
      </w:r>
      <w:r>
        <w:rPr>
          <w:rFonts w:hint="eastAsia"/>
          <w:sz w:val="22"/>
          <w:lang w:val="en-US" w:eastAsia="ko-KR"/>
        </w:rPr>
        <w:t xml:space="preserve">PDCP protocol is designed with the assumption that a PDCP SDU with SN &gt;= SN(RX_DELIV) + Window_Size is not </w:t>
      </w:r>
      <w:r>
        <w:rPr>
          <w:sz w:val="22"/>
          <w:lang w:val="en-US" w:eastAsia="ko-KR"/>
        </w:rPr>
        <w:t>transmitt</w:t>
      </w:r>
      <w:r>
        <w:rPr>
          <w:rFonts w:hint="eastAsia"/>
          <w:sz w:val="22"/>
          <w:lang w:val="en-US" w:eastAsia="ko-KR"/>
        </w:rPr>
        <w:t xml:space="preserve">ed. </w:t>
      </w:r>
      <w:r>
        <w:rPr>
          <w:sz w:val="22"/>
          <w:lang w:val="en-US" w:eastAsia="ko-KR"/>
        </w:rPr>
        <w:t>If such PDCP SDU is received, the receiving PDCP entity regards it as an old one, and discards the PDCP SDU. It may cause HFN desynchronization problem.</w:t>
      </w:r>
    </w:p>
    <w:p w:rsidR="00D735C9" w:rsidRDefault="004D567D" w:rsidP="00767B46">
      <w:pPr>
        <w:rPr>
          <w:sz w:val="22"/>
          <w:lang w:val="en-US" w:eastAsia="ko-KR"/>
        </w:rPr>
      </w:pPr>
      <w:r>
        <w:rPr>
          <w:rFonts w:hint="eastAsia"/>
          <w:sz w:val="22"/>
          <w:lang w:val="en-US" w:eastAsia="ko-KR"/>
        </w:rPr>
        <w:t>However, this is well-known problem</w:t>
      </w:r>
      <w:r>
        <w:rPr>
          <w:sz w:val="22"/>
          <w:lang w:val="en-US" w:eastAsia="ko-KR"/>
        </w:rPr>
        <w:t xml:space="preserve">, </w:t>
      </w:r>
      <w:r>
        <w:rPr>
          <w:rFonts w:hint="eastAsia"/>
          <w:sz w:val="22"/>
          <w:lang w:val="en-US" w:eastAsia="ko-KR"/>
        </w:rPr>
        <w:t xml:space="preserve">recognized from LTE. </w:t>
      </w:r>
      <w:r>
        <w:rPr>
          <w:sz w:val="22"/>
          <w:lang w:val="en-US" w:eastAsia="ko-KR"/>
        </w:rPr>
        <w:t>Several methods were discussed to prevent such case, but RAN2 finally agreed to leave it up to UE implementation. A Note is added in this purpose.</w:t>
      </w:r>
    </w:p>
    <w:tbl>
      <w:tblPr>
        <w:tblStyle w:val="a8"/>
        <w:tblW w:w="0" w:type="auto"/>
        <w:tblLook w:val="04A0" w:firstRow="1" w:lastRow="0" w:firstColumn="1" w:lastColumn="0" w:noHBand="0" w:noVBand="1"/>
      </w:tblPr>
      <w:tblGrid>
        <w:gridCol w:w="9631"/>
      </w:tblGrid>
      <w:tr w:rsidR="004D567D" w:rsidTr="004D567D">
        <w:tc>
          <w:tcPr>
            <w:tcW w:w="9631" w:type="dxa"/>
          </w:tcPr>
          <w:p w:rsidR="004D567D" w:rsidRDefault="004D567D" w:rsidP="00767B46">
            <w:pPr>
              <w:rPr>
                <w:sz w:val="22"/>
                <w:lang w:val="en-US" w:eastAsia="ko-KR"/>
              </w:rPr>
            </w:pPr>
          </w:p>
          <w:p w:rsidR="004D567D" w:rsidRPr="00AD16EB" w:rsidRDefault="004D567D" w:rsidP="004D567D">
            <w:pPr>
              <w:pStyle w:val="3"/>
              <w:ind w:left="742" w:hanging="742"/>
            </w:pPr>
            <w:bookmarkStart w:id="9" w:name="_Toc510395166"/>
            <w:r w:rsidRPr="00AD16EB">
              <w:t>5.2.1</w:t>
            </w:r>
            <w:r w:rsidRPr="00AD16EB">
              <w:tab/>
              <w:t>Transmit operation</w:t>
            </w:r>
            <w:bookmarkEnd w:id="9"/>
          </w:p>
          <w:p w:rsidR="004D567D" w:rsidRPr="00AD16EB" w:rsidRDefault="004D567D" w:rsidP="004D567D">
            <w:pPr>
              <w:rPr>
                <w:snapToGrid w:val="0"/>
              </w:rPr>
            </w:pPr>
            <w:r w:rsidRPr="00AD16EB">
              <w:t>At reception of a PDCP SDU from upper layers</w:t>
            </w:r>
            <w:r w:rsidRPr="00AD16EB">
              <w:rPr>
                <w:lang w:eastAsia="ko-KR"/>
              </w:rPr>
              <w:t>,</w:t>
            </w:r>
            <w:r w:rsidRPr="00AD16EB">
              <w:rPr>
                <w:snapToGrid w:val="0"/>
              </w:rPr>
              <w:t xml:space="preserve"> the transmitting PDCP entity shall:</w:t>
            </w:r>
          </w:p>
          <w:p w:rsidR="004D567D" w:rsidRPr="00AD16EB" w:rsidRDefault="004D567D" w:rsidP="004D567D">
            <w:pPr>
              <w:pStyle w:val="B1"/>
            </w:pPr>
            <w:r w:rsidRPr="00AD16EB">
              <w:t>-</w:t>
            </w:r>
            <w:r w:rsidRPr="00AD16EB">
              <w:tab/>
              <w:t xml:space="preserve">start the </w:t>
            </w:r>
            <w:r w:rsidRPr="00AD16EB">
              <w:rPr>
                <w:i/>
              </w:rPr>
              <w:t>discardTimer</w:t>
            </w:r>
            <w:r w:rsidRPr="00AD16EB">
              <w:t xml:space="preserve"> associated with this PDCP SDU</w:t>
            </w:r>
            <w:r w:rsidRPr="00AD16EB">
              <w:rPr>
                <w:lang w:eastAsia="ko-KR"/>
              </w:rPr>
              <w:t xml:space="preserve"> (if configured)</w:t>
            </w:r>
            <w:r w:rsidRPr="00AD16EB">
              <w:t>.</w:t>
            </w:r>
          </w:p>
          <w:p w:rsidR="004D567D" w:rsidRPr="00AD16EB" w:rsidRDefault="004D567D" w:rsidP="004D567D">
            <w:pPr>
              <w:rPr>
                <w:snapToGrid w:val="0"/>
                <w:lang w:eastAsia="ko-KR"/>
              </w:rPr>
            </w:pPr>
            <w:r w:rsidRPr="00AD16EB">
              <w:rPr>
                <w:lang w:eastAsia="ko-KR"/>
              </w:rPr>
              <w:t>For</w:t>
            </w:r>
            <w:r w:rsidRPr="00AD16EB">
              <w:t xml:space="preserve"> a PDCP SDU </w:t>
            </w:r>
            <w:r w:rsidRPr="00AD16EB">
              <w:rPr>
                <w:lang w:eastAsia="ko-KR"/>
              </w:rPr>
              <w:t xml:space="preserve">received </w:t>
            </w:r>
            <w:r w:rsidRPr="00AD16EB">
              <w:t>from upper layers</w:t>
            </w:r>
            <w:r w:rsidRPr="00AD16EB">
              <w:rPr>
                <w:lang w:eastAsia="ko-KR"/>
              </w:rPr>
              <w:t>,</w:t>
            </w:r>
            <w:r w:rsidRPr="00AD16EB">
              <w:rPr>
                <w:snapToGrid w:val="0"/>
              </w:rPr>
              <w:t xml:space="preserve"> the transmitting PDCP entity shall:</w:t>
            </w:r>
          </w:p>
          <w:p w:rsidR="004D567D" w:rsidRPr="00AD16EB" w:rsidRDefault="004D567D" w:rsidP="004D567D">
            <w:pPr>
              <w:pStyle w:val="B1"/>
            </w:pPr>
            <w:r w:rsidRPr="00AD16EB">
              <w:rPr>
                <w:snapToGrid w:val="0"/>
              </w:rPr>
              <w:t>-</w:t>
            </w:r>
            <w:r w:rsidRPr="00AD16EB">
              <w:rPr>
                <w:snapToGrid w:val="0"/>
              </w:rPr>
              <w:tab/>
              <w:t>associate the COUNT value corresponding to TX_NEXT</w:t>
            </w:r>
            <w:r w:rsidRPr="00AD16EB">
              <w:t xml:space="preserve"> to this PDCP SDU;</w:t>
            </w:r>
          </w:p>
          <w:p w:rsidR="004D567D" w:rsidRDefault="004D567D" w:rsidP="004D567D">
            <w:pPr>
              <w:pStyle w:val="NO"/>
              <w:rPr>
                <w:sz w:val="22"/>
                <w:lang w:val="en-US" w:eastAsia="ko-KR"/>
              </w:rPr>
            </w:pPr>
            <w:r w:rsidRPr="004D567D">
              <w:rPr>
                <w:highlight w:val="yellow"/>
              </w:rPr>
              <w:t>NOTE 1:</w:t>
            </w:r>
            <w:r w:rsidRPr="004D567D">
              <w:rPr>
                <w:highlight w:val="yellow"/>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4D567D" w:rsidRDefault="004D567D" w:rsidP="00767B46">
            <w:pPr>
              <w:rPr>
                <w:sz w:val="22"/>
                <w:lang w:val="en-US" w:eastAsia="ko-KR"/>
              </w:rPr>
            </w:pPr>
          </w:p>
        </w:tc>
      </w:tr>
    </w:tbl>
    <w:p w:rsidR="00D735C9" w:rsidRDefault="00D735C9" w:rsidP="00767B46">
      <w:pPr>
        <w:rPr>
          <w:sz w:val="22"/>
          <w:lang w:val="en-US" w:eastAsia="ko-KR"/>
        </w:rPr>
      </w:pPr>
    </w:p>
    <w:p w:rsidR="004D567D" w:rsidRDefault="00BB5AB9" w:rsidP="00767B46">
      <w:pPr>
        <w:rPr>
          <w:sz w:val="22"/>
          <w:lang w:val="en-US" w:eastAsia="ko-KR"/>
        </w:rPr>
      </w:pPr>
      <w:r>
        <w:rPr>
          <w:rFonts w:hint="eastAsia"/>
          <w:sz w:val="22"/>
          <w:lang w:val="en-US" w:eastAsia="ko-KR"/>
        </w:rPr>
        <w:t xml:space="preserve">The reason to leave it up to UE implementation is </w:t>
      </w:r>
      <w:r>
        <w:rPr>
          <w:sz w:val="22"/>
          <w:lang w:val="en-US" w:eastAsia="ko-KR"/>
        </w:rPr>
        <w:t xml:space="preserve">that it occurs very rarely. Assuming 18 bits PDCP SN size, the problem occurs </w:t>
      </w:r>
      <w:r w:rsidR="008A0C81">
        <w:rPr>
          <w:sz w:val="22"/>
          <w:lang w:val="en-US" w:eastAsia="ko-KR"/>
        </w:rPr>
        <w:t xml:space="preserve">only </w:t>
      </w:r>
      <w:r>
        <w:rPr>
          <w:sz w:val="22"/>
          <w:lang w:val="en-US" w:eastAsia="ko-KR"/>
        </w:rPr>
        <w:t>when the first packet is received after all 2^17 = 131,072 packets are received.</w:t>
      </w:r>
    </w:p>
    <w:p w:rsidR="004D567D" w:rsidRDefault="000825B6" w:rsidP="00767B46">
      <w:pPr>
        <w:rPr>
          <w:sz w:val="22"/>
          <w:lang w:val="en-US" w:eastAsia="ko-KR"/>
        </w:rPr>
      </w:pPr>
      <w:r>
        <w:rPr>
          <w:rFonts w:hint="eastAsia"/>
          <w:sz w:val="22"/>
          <w:lang w:val="en-US" w:eastAsia="ko-KR"/>
        </w:rPr>
        <w:t xml:space="preserve">As this problem is not a new problem, and happens very rarely, we think this </w:t>
      </w:r>
      <w:r>
        <w:rPr>
          <w:sz w:val="22"/>
          <w:lang w:val="en-US" w:eastAsia="ko-KR"/>
        </w:rPr>
        <w:t>aspect is not a</w:t>
      </w:r>
      <w:r w:rsidR="006E4A80">
        <w:rPr>
          <w:sz w:val="22"/>
          <w:lang w:val="en-US" w:eastAsia="ko-KR"/>
        </w:rPr>
        <w:t xml:space="preserve"> critical</w:t>
      </w:r>
      <w:r>
        <w:rPr>
          <w:sz w:val="22"/>
          <w:lang w:val="en-US" w:eastAsia="ko-KR"/>
        </w:rPr>
        <w:t xml:space="preserve"> defect for hop-by-hop ARQ.</w:t>
      </w:r>
    </w:p>
    <w:p w:rsidR="000825B6" w:rsidRDefault="00ED49C4" w:rsidP="000825B6">
      <w:pPr>
        <w:rPr>
          <w:b/>
          <w:sz w:val="22"/>
          <w:lang w:val="en-US" w:eastAsia="ko-KR"/>
        </w:rPr>
      </w:pPr>
      <w:r>
        <w:rPr>
          <w:b/>
          <w:sz w:val="22"/>
          <w:lang w:val="en-US" w:eastAsia="ko-KR"/>
        </w:rPr>
        <w:t xml:space="preserve">Observation </w:t>
      </w:r>
      <w:r w:rsidR="000825B6">
        <w:rPr>
          <w:b/>
          <w:sz w:val="22"/>
          <w:lang w:val="en-US" w:eastAsia="ko-KR"/>
        </w:rPr>
        <w:t>2</w:t>
      </w:r>
      <w:r w:rsidR="000825B6" w:rsidRPr="000B5DFF">
        <w:rPr>
          <w:b/>
          <w:sz w:val="22"/>
          <w:lang w:val="en-US" w:eastAsia="ko-KR"/>
        </w:rPr>
        <w:t xml:space="preserve">: </w:t>
      </w:r>
      <w:r>
        <w:rPr>
          <w:b/>
          <w:sz w:val="22"/>
          <w:lang w:val="en-US" w:eastAsia="ko-KR"/>
        </w:rPr>
        <w:t>H</w:t>
      </w:r>
      <w:r w:rsidR="000825B6" w:rsidRPr="000825B6">
        <w:rPr>
          <w:b/>
          <w:sz w:val="22"/>
          <w:lang w:val="en-US" w:eastAsia="ko-KR"/>
        </w:rPr>
        <w:t>op count limitation due to PD</w:t>
      </w:r>
      <w:r w:rsidR="000825B6">
        <w:rPr>
          <w:b/>
          <w:sz w:val="22"/>
          <w:lang w:val="en-US" w:eastAsia="ko-KR"/>
        </w:rPr>
        <w:t>C</w:t>
      </w:r>
      <w:r w:rsidR="000825B6" w:rsidRPr="000825B6">
        <w:rPr>
          <w:b/>
          <w:sz w:val="22"/>
          <w:lang w:val="en-US" w:eastAsia="ko-KR"/>
        </w:rPr>
        <w:t xml:space="preserve">P parameters </w:t>
      </w:r>
      <w:r w:rsidR="000825B6">
        <w:rPr>
          <w:b/>
          <w:sz w:val="22"/>
          <w:lang w:val="en-US" w:eastAsia="ko-KR"/>
        </w:rPr>
        <w:t>is not a</w:t>
      </w:r>
      <w:r w:rsidR="006E4A80">
        <w:rPr>
          <w:b/>
          <w:sz w:val="22"/>
          <w:lang w:val="en-US" w:eastAsia="ko-KR"/>
        </w:rPr>
        <w:t xml:space="preserve"> critical</w:t>
      </w:r>
      <w:r w:rsidR="000825B6">
        <w:rPr>
          <w:b/>
          <w:sz w:val="22"/>
          <w:lang w:val="en-US" w:eastAsia="ko-KR"/>
        </w:rPr>
        <w:t xml:space="preserve"> defect for hop-by-hop ARQ.</w:t>
      </w:r>
    </w:p>
    <w:p w:rsidR="000825B6" w:rsidRPr="000825B6" w:rsidRDefault="000825B6" w:rsidP="00767B46">
      <w:pPr>
        <w:rPr>
          <w:sz w:val="22"/>
          <w:lang w:val="en-US" w:eastAsia="ko-KR"/>
        </w:rPr>
      </w:pPr>
    </w:p>
    <w:p w:rsidR="000825B6" w:rsidRPr="00A15FBE" w:rsidRDefault="00A15FBE" w:rsidP="00767B46">
      <w:pPr>
        <w:rPr>
          <w:sz w:val="22"/>
          <w:u w:val="single"/>
          <w:lang w:val="en-US" w:eastAsia="ko-KR"/>
        </w:rPr>
      </w:pPr>
      <w:r w:rsidRPr="00A15FBE">
        <w:rPr>
          <w:sz w:val="22"/>
          <w:u w:val="single"/>
          <w:lang w:val="en-US" w:eastAsia="ko-KR"/>
        </w:rPr>
        <w:t>Remaining aspects</w:t>
      </w:r>
    </w:p>
    <w:p w:rsidR="00A15FBE" w:rsidRDefault="00A15FBE" w:rsidP="00A15FBE">
      <w:pPr>
        <w:rPr>
          <w:sz w:val="22"/>
          <w:lang w:val="en-US" w:eastAsia="ko-KR"/>
        </w:rPr>
      </w:pPr>
      <w:r>
        <w:rPr>
          <w:sz w:val="22"/>
          <w:lang w:val="en-US" w:eastAsia="ko-KR"/>
        </w:rPr>
        <w:t>In [1], v</w:t>
      </w:r>
      <w:r>
        <w:rPr>
          <w:rFonts w:hint="eastAsia"/>
          <w:sz w:val="22"/>
          <w:lang w:val="en-US" w:eastAsia="ko-KR"/>
        </w:rPr>
        <w:t xml:space="preserve">arious aspects were analyzed, but we think </w:t>
      </w:r>
      <w:r>
        <w:rPr>
          <w:sz w:val="22"/>
          <w:lang w:val="en-US" w:eastAsia="ko-KR"/>
        </w:rPr>
        <w:t xml:space="preserve">“Latency due to retransmission” and “Capacity” are most important aspects, so we think hop-by-hop ARQ is better than end-to-end ARQ. </w:t>
      </w:r>
    </w:p>
    <w:p w:rsidR="00A15FBE" w:rsidRDefault="00A15FBE" w:rsidP="00A15FBE">
      <w:pPr>
        <w:rPr>
          <w:sz w:val="22"/>
          <w:lang w:val="en-US" w:eastAsia="ko-KR"/>
        </w:rPr>
      </w:pPr>
      <w:r>
        <w:rPr>
          <w:sz w:val="22"/>
          <w:lang w:val="en-US" w:eastAsia="ko-KR"/>
        </w:rPr>
        <w:t>The end-to-end ARQ is better in terms of the aspects “</w:t>
      </w:r>
      <w:r w:rsidRPr="00A15FBE">
        <w:rPr>
          <w:sz w:val="22"/>
          <w:lang w:val="en-US" w:eastAsia="ko-KR"/>
        </w:rPr>
        <w:t>Forwarding latency</w:t>
      </w:r>
      <w:r>
        <w:rPr>
          <w:sz w:val="22"/>
          <w:lang w:val="en-US" w:eastAsia="ko-KR"/>
        </w:rPr>
        <w:t>” and “</w:t>
      </w:r>
      <w:r w:rsidRPr="00A15FBE">
        <w:rPr>
          <w:sz w:val="22"/>
          <w:lang w:val="en-US" w:eastAsia="ko-KR"/>
        </w:rPr>
        <w:t>Processing and memory impact on intermediate IAB-nodes</w:t>
      </w:r>
      <w:r>
        <w:rPr>
          <w:sz w:val="22"/>
          <w:lang w:val="en-US" w:eastAsia="ko-KR"/>
        </w:rPr>
        <w:t>”, but we wonder how much the latency is increased with the RLC-state machine and how much is the burden in implementing RLC-state machine in the IAB node.</w:t>
      </w:r>
    </w:p>
    <w:p w:rsidR="000825B6" w:rsidRDefault="009B7F8B" w:rsidP="00767B46">
      <w:pPr>
        <w:rPr>
          <w:sz w:val="22"/>
          <w:lang w:val="en-US" w:eastAsia="ko-KR"/>
        </w:rPr>
      </w:pPr>
      <w:r>
        <w:rPr>
          <w:rFonts w:hint="eastAsia"/>
          <w:sz w:val="22"/>
          <w:lang w:val="en-US" w:eastAsia="ko-KR"/>
        </w:rPr>
        <w:t xml:space="preserve">As the hop-by-hop ARQ is </w:t>
      </w:r>
      <w:r>
        <w:rPr>
          <w:sz w:val="22"/>
          <w:lang w:val="en-US" w:eastAsia="ko-KR"/>
        </w:rPr>
        <w:t>better than the end-to-end ARQ in terms of retransmission latency and capacity point of view, and as the hop-by-hop ARQ does not have critical defect, we propose to adopt hop-by-hop ARQ for IAB study.</w:t>
      </w:r>
    </w:p>
    <w:p w:rsidR="009B7F8B" w:rsidRPr="009B7F8B" w:rsidRDefault="009B7F8B" w:rsidP="00767B46">
      <w:pPr>
        <w:rPr>
          <w:b/>
          <w:sz w:val="22"/>
          <w:lang w:val="en-US" w:eastAsia="ko-KR"/>
        </w:rPr>
      </w:pPr>
      <w:r w:rsidRPr="009B7F8B">
        <w:rPr>
          <w:b/>
          <w:sz w:val="22"/>
          <w:lang w:val="en-US" w:eastAsia="ko-KR"/>
        </w:rPr>
        <w:t xml:space="preserve">Proposal: Adopt hop-by-hop </w:t>
      </w:r>
      <w:r>
        <w:rPr>
          <w:b/>
          <w:sz w:val="22"/>
          <w:lang w:val="en-US" w:eastAsia="ko-KR"/>
        </w:rPr>
        <w:t xml:space="preserve">RLC </w:t>
      </w:r>
      <w:r w:rsidRPr="009B7F8B">
        <w:rPr>
          <w:b/>
          <w:sz w:val="22"/>
          <w:lang w:val="en-US" w:eastAsia="ko-KR"/>
        </w:rPr>
        <w:t>ARQ for IAB.</w:t>
      </w:r>
    </w:p>
    <w:p w:rsidR="00A15FBE" w:rsidRDefault="00A15FBE" w:rsidP="00767B46">
      <w:pPr>
        <w:rPr>
          <w:sz w:val="22"/>
          <w:lang w:val="en-US" w:eastAsia="ko-KR"/>
        </w:rPr>
      </w:pPr>
    </w:p>
    <w:p w:rsidR="001C78F5" w:rsidRDefault="001C78F5" w:rsidP="001C78F5">
      <w:pPr>
        <w:pStyle w:val="1"/>
        <w:rPr>
          <w:rFonts w:ascii="Times New Roman" w:hAnsi="Times New Roman"/>
          <w:lang w:val="en-US" w:eastAsia="ko-KR"/>
        </w:rPr>
      </w:pPr>
      <w:r>
        <w:rPr>
          <w:lang w:val="en-US"/>
        </w:rPr>
        <w:lastRenderedPageBreak/>
        <w:t>3.</w:t>
      </w:r>
      <w:r>
        <w:rPr>
          <w:lang w:val="en-US"/>
        </w:rPr>
        <w:tab/>
        <w:t>Proposal</w:t>
      </w:r>
    </w:p>
    <w:p w:rsidR="00B250EC" w:rsidRDefault="001C78F5">
      <w:pPr>
        <w:rPr>
          <w:sz w:val="22"/>
          <w:lang w:val="en-US" w:eastAsia="ko-KR"/>
        </w:rPr>
      </w:pPr>
      <w:r w:rsidRPr="001C78F5">
        <w:rPr>
          <w:rFonts w:hint="eastAsia"/>
          <w:sz w:val="22"/>
          <w:lang w:val="en-US" w:eastAsia="ko-KR"/>
        </w:rPr>
        <w:t>In this paper</w:t>
      </w:r>
      <w:r w:rsidR="00B250EC">
        <w:rPr>
          <w:sz w:val="22"/>
          <w:lang w:val="en-US" w:eastAsia="ko-KR"/>
        </w:rPr>
        <w:t>, we have analyzed some aspects of multi-hop ARQ, and have following observations:</w:t>
      </w:r>
    </w:p>
    <w:p w:rsidR="00B250EC" w:rsidRPr="000B5DFF" w:rsidRDefault="00B250EC" w:rsidP="00B250EC">
      <w:pPr>
        <w:rPr>
          <w:b/>
          <w:sz w:val="22"/>
          <w:lang w:val="en-US" w:eastAsia="ko-KR"/>
        </w:rPr>
      </w:pPr>
      <w:r>
        <w:rPr>
          <w:b/>
          <w:sz w:val="22"/>
          <w:lang w:val="en-US" w:eastAsia="ko-KR"/>
        </w:rPr>
        <w:t>Observation</w:t>
      </w:r>
      <w:r w:rsidRPr="000B5DFF">
        <w:rPr>
          <w:b/>
          <w:sz w:val="22"/>
          <w:lang w:val="en-US" w:eastAsia="ko-KR"/>
        </w:rPr>
        <w:t xml:space="preserve"> 1: </w:t>
      </w:r>
      <w:r>
        <w:rPr>
          <w:b/>
          <w:sz w:val="22"/>
          <w:lang w:val="en-US" w:eastAsia="ko-KR"/>
        </w:rPr>
        <w:t>F</w:t>
      </w:r>
      <w:r w:rsidRPr="000B5DFF">
        <w:rPr>
          <w:b/>
          <w:sz w:val="22"/>
          <w:lang w:val="en-US" w:eastAsia="ko-KR"/>
        </w:rPr>
        <w:t>rom the end-to-end reliability point of view, there is no difference between hop-by-hop ARQ and end-to-end ARQ.</w:t>
      </w:r>
    </w:p>
    <w:p w:rsidR="00B250EC" w:rsidRDefault="00B250EC" w:rsidP="00B250EC">
      <w:pPr>
        <w:rPr>
          <w:b/>
          <w:sz w:val="22"/>
          <w:lang w:val="en-US" w:eastAsia="ko-KR"/>
        </w:rPr>
      </w:pPr>
      <w:r>
        <w:rPr>
          <w:b/>
          <w:sz w:val="22"/>
          <w:lang w:val="en-US" w:eastAsia="ko-KR"/>
        </w:rPr>
        <w:t>Observation 2</w:t>
      </w:r>
      <w:r w:rsidRPr="000B5DFF">
        <w:rPr>
          <w:b/>
          <w:sz w:val="22"/>
          <w:lang w:val="en-US" w:eastAsia="ko-KR"/>
        </w:rPr>
        <w:t xml:space="preserve">: </w:t>
      </w:r>
      <w:r>
        <w:rPr>
          <w:b/>
          <w:sz w:val="22"/>
          <w:lang w:val="en-US" w:eastAsia="ko-KR"/>
        </w:rPr>
        <w:t>H</w:t>
      </w:r>
      <w:r w:rsidRPr="000825B6">
        <w:rPr>
          <w:b/>
          <w:sz w:val="22"/>
          <w:lang w:val="en-US" w:eastAsia="ko-KR"/>
        </w:rPr>
        <w:t>op count limitation due to PD</w:t>
      </w:r>
      <w:r>
        <w:rPr>
          <w:b/>
          <w:sz w:val="22"/>
          <w:lang w:val="en-US" w:eastAsia="ko-KR"/>
        </w:rPr>
        <w:t>C</w:t>
      </w:r>
      <w:r w:rsidRPr="000825B6">
        <w:rPr>
          <w:b/>
          <w:sz w:val="22"/>
          <w:lang w:val="en-US" w:eastAsia="ko-KR"/>
        </w:rPr>
        <w:t xml:space="preserve">P parameters </w:t>
      </w:r>
      <w:r>
        <w:rPr>
          <w:b/>
          <w:sz w:val="22"/>
          <w:lang w:val="en-US" w:eastAsia="ko-KR"/>
        </w:rPr>
        <w:t>is not a</w:t>
      </w:r>
      <w:r w:rsidR="006E4A80">
        <w:rPr>
          <w:b/>
          <w:sz w:val="22"/>
          <w:lang w:val="en-US" w:eastAsia="ko-KR"/>
        </w:rPr>
        <w:t xml:space="preserve"> critical</w:t>
      </w:r>
      <w:r>
        <w:rPr>
          <w:b/>
          <w:sz w:val="22"/>
          <w:lang w:val="en-US" w:eastAsia="ko-KR"/>
        </w:rPr>
        <w:t xml:space="preserve"> defect for hop-by-hop ARQ.</w:t>
      </w:r>
    </w:p>
    <w:p w:rsidR="00B250EC" w:rsidRDefault="006E4A80">
      <w:pPr>
        <w:rPr>
          <w:sz w:val="22"/>
          <w:lang w:val="en-US" w:eastAsia="ko-KR"/>
        </w:rPr>
      </w:pPr>
      <w:r>
        <w:rPr>
          <w:sz w:val="22"/>
          <w:lang w:val="en-US" w:eastAsia="ko-KR"/>
        </w:rPr>
        <w:t>With these observations, we propose following:</w:t>
      </w:r>
    </w:p>
    <w:p w:rsidR="006E4A80" w:rsidRPr="009B7F8B" w:rsidRDefault="006E4A80" w:rsidP="006E4A80">
      <w:pPr>
        <w:rPr>
          <w:b/>
          <w:sz w:val="22"/>
          <w:lang w:val="en-US" w:eastAsia="ko-KR"/>
        </w:rPr>
      </w:pPr>
      <w:r w:rsidRPr="009B7F8B">
        <w:rPr>
          <w:b/>
          <w:sz w:val="22"/>
          <w:lang w:val="en-US" w:eastAsia="ko-KR"/>
        </w:rPr>
        <w:t xml:space="preserve">Proposal: Adopt hop-by-hop </w:t>
      </w:r>
      <w:r>
        <w:rPr>
          <w:b/>
          <w:sz w:val="22"/>
          <w:lang w:val="en-US" w:eastAsia="ko-KR"/>
        </w:rPr>
        <w:t xml:space="preserve">RLC </w:t>
      </w:r>
      <w:r w:rsidRPr="009B7F8B">
        <w:rPr>
          <w:b/>
          <w:sz w:val="22"/>
          <w:lang w:val="en-US" w:eastAsia="ko-KR"/>
        </w:rPr>
        <w:t>ARQ for IAB.</w:t>
      </w:r>
    </w:p>
    <w:p w:rsidR="003A51C6" w:rsidRDefault="003A51C6">
      <w:pPr>
        <w:rPr>
          <w:sz w:val="22"/>
          <w:lang w:val="en-US" w:eastAsia="ko-KR"/>
        </w:rPr>
      </w:pPr>
    </w:p>
    <w:p w:rsidR="001C78F5" w:rsidRDefault="001C78F5" w:rsidP="001C78F5">
      <w:pPr>
        <w:pStyle w:val="1"/>
        <w:rPr>
          <w:rFonts w:ascii="Times New Roman" w:hAnsi="Times New Roman"/>
          <w:lang w:val="en-US" w:eastAsia="ko-KR"/>
        </w:rPr>
      </w:pPr>
      <w:r>
        <w:rPr>
          <w:lang w:val="en-US"/>
        </w:rPr>
        <w:t>4.</w:t>
      </w:r>
      <w:r>
        <w:rPr>
          <w:lang w:val="en-US"/>
        </w:rPr>
        <w:tab/>
        <w:t>References</w:t>
      </w:r>
    </w:p>
    <w:p w:rsidR="001C78F5" w:rsidRDefault="001C78F5">
      <w:pPr>
        <w:rPr>
          <w:sz w:val="22"/>
          <w:lang w:val="en-US" w:eastAsia="ko-KR"/>
        </w:rPr>
      </w:pPr>
      <w:r>
        <w:rPr>
          <w:rFonts w:hint="eastAsia"/>
          <w:sz w:val="22"/>
          <w:lang w:val="en-US" w:eastAsia="ko-KR"/>
        </w:rPr>
        <w:t>[1] R2</w:t>
      </w:r>
      <w:r>
        <w:rPr>
          <w:sz w:val="22"/>
          <w:lang w:val="en-US" w:eastAsia="ko-KR"/>
        </w:rPr>
        <w:t>-</w:t>
      </w:r>
      <w:r>
        <w:rPr>
          <w:rFonts w:hint="eastAsia"/>
          <w:sz w:val="22"/>
          <w:lang w:val="en-US" w:eastAsia="ko-KR"/>
        </w:rPr>
        <w:t>180</w:t>
      </w:r>
      <w:r w:rsidR="00CA3BD2">
        <w:rPr>
          <w:sz w:val="22"/>
          <w:lang w:val="en-US" w:eastAsia="ko-KR"/>
        </w:rPr>
        <w:t>9049</w:t>
      </w:r>
      <w:r>
        <w:rPr>
          <w:sz w:val="22"/>
          <w:lang w:val="en-US" w:eastAsia="ko-KR"/>
        </w:rPr>
        <w:tab/>
      </w:r>
      <w:r w:rsidR="00CA3BD2" w:rsidRPr="00CA3BD2">
        <w:rPr>
          <w:sz w:val="22"/>
          <w:lang w:val="en-US" w:eastAsia="ko-KR"/>
        </w:rPr>
        <w:t>U-plane aspects of architecture group 1</w:t>
      </w:r>
      <w:r>
        <w:rPr>
          <w:sz w:val="22"/>
          <w:lang w:val="en-US" w:eastAsia="ko-KR"/>
        </w:rPr>
        <w:tab/>
      </w:r>
      <w:r w:rsidR="00CA3BD2">
        <w:rPr>
          <w:sz w:val="22"/>
          <w:lang w:val="en-US" w:eastAsia="ko-KR"/>
        </w:rPr>
        <w:t>Qualcomm Incorporated</w:t>
      </w:r>
    </w:p>
    <w:p w:rsidR="001C78F5" w:rsidRPr="001C78F5" w:rsidRDefault="001C78F5">
      <w:pPr>
        <w:rPr>
          <w:sz w:val="22"/>
          <w:lang w:val="en-US" w:eastAsia="ko-KR"/>
        </w:rPr>
      </w:pPr>
    </w:p>
    <w:p w:rsidR="001C78F5" w:rsidRPr="004E1278" w:rsidRDefault="001C78F5">
      <w:pPr>
        <w:rPr>
          <w:sz w:val="22"/>
          <w:lang w:val="en-US" w:eastAsia="ko-KR"/>
        </w:rPr>
      </w:pPr>
    </w:p>
    <w:sectPr w:rsidR="001C78F5" w:rsidRPr="004E127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601" w:rsidRDefault="00C65601">
      <w:pPr>
        <w:spacing w:after="0"/>
      </w:pPr>
      <w:r>
        <w:separator/>
      </w:r>
    </w:p>
  </w:endnote>
  <w:endnote w:type="continuationSeparator" w:id="0">
    <w:p w:rsidR="00C65601" w:rsidRDefault="00C65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C12BB">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601" w:rsidRDefault="00C65601">
      <w:pPr>
        <w:spacing w:after="0"/>
      </w:pPr>
      <w:r>
        <w:separator/>
      </w:r>
    </w:p>
  </w:footnote>
  <w:footnote w:type="continuationSeparator" w:id="0">
    <w:p w:rsidR="00C65601" w:rsidRDefault="00C656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E157C53"/>
    <w:multiLevelType w:val="hybridMultilevel"/>
    <w:tmpl w:val="8A0C7784"/>
    <w:lvl w:ilvl="0" w:tplc="AC826AFE">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30"/>
  </w:num>
  <w:num w:numId="4">
    <w:abstractNumId w:val="18"/>
  </w:num>
  <w:num w:numId="5">
    <w:abstractNumId w:val="8"/>
  </w:num>
  <w:num w:numId="6">
    <w:abstractNumId w:val="13"/>
  </w:num>
  <w:num w:numId="7">
    <w:abstractNumId w:val="29"/>
  </w:num>
  <w:num w:numId="8">
    <w:abstractNumId w:val="22"/>
  </w:num>
  <w:num w:numId="9">
    <w:abstractNumId w:val="5"/>
  </w:num>
  <w:num w:numId="10">
    <w:abstractNumId w:val="14"/>
  </w:num>
  <w:num w:numId="11">
    <w:abstractNumId w:val="3"/>
  </w:num>
  <w:num w:numId="12">
    <w:abstractNumId w:val="25"/>
  </w:num>
  <w:num w:numId="13">
    <w:abstractNumId w:val="4"/>
  </w:num>
  <w:num w:numId="14">
    <w:abstractNumId w:val="15"/>
  </w:num>
  <w:num w:numId="15">
    <w:abstractNumId w:val="2"/>
  </w:num>
  <w:num w:numId="16">
    <w:abstractNumId w:val="31"/>
  </w:num>
  <w:num w:numId="17">
    <w:abstractNumId w:val="27"/>
  </w:num>
  <w:num w:numId="18">
    <w:abstractNumId w:val="24"/>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0"/>
  </w:num>
  <w:num w:numId="27">
    <w:abstractNumId w:val="26"/>
  </w:num>
  <w:num w:numId="28">
    <w:abstractNumId w:val="28"/>
  </w:num>
  <w:num w:numId="29">
    <w:abstractNumId w:val="12"/>
  </w:num>
  <w:num w:numId="30">
    <w:abstractNumId w:val="20"/>
  </w:num>
  <w:num w:numId="31">
    <w:abstractNumId w:val="16"/>
  </w:num>
  <w:num w:numId="3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 Hampel">
    <w15:presenceInfo w15:providerId="AD" w15:userId="S-1-5-21-945540591-4024260831-3861152641-572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825B6"/>
    <w:rsid w:val="000B1477"/>
    <w:rsid w:val="000B1CDB"/>
    <w:rsid w:val="000B5DFF"/>
    <w:rsid w:val="000D09F4"/>
    <w:rsid w:val="00103116"/>
    <w:rsid w:val="00105F70"/>
    <w:rsid w:val="00106858"/>
    <w:rsid w:val="00137C17"/>
    <w:rsid w:val="001572BD"/>
    <w:rsid w:val="00190CD2"/>
    <w:rsid w:val="001B7CFA"/>
    <w:rsid w:val="001C78F5"/>
    <w:rsid w:val="001D608A"/>
    <w:rsid w:val="001F53EF"/>
    <w:rsid w:val="0021791F"/>
    <w:rsid w:val="0023022A"/>
    <w:rsid w:val="002411D3"/>
    <w:rsid w:val="002709AD"/>
    <w:rsid w:val="002957B2"/>
    <w:rsid w:val="002C7E10"/>
    <w:rsid w:val="00321212"/>
    <w:rsid w:val="0035290C"/>
    <w:rsid w:val="00357196"/>
    <w:rsid w:val="00382872"/>
    <w:rsid w:val="003A51C6"/>
    <w:rsid w:val="003A7497"/>
    <w:rsid w:val="003D583B"/>
    <w:rsid w:val="003F048B"/>
    <w:rsid w:val="003F3E87"/>
    <w:rsid w:val="003F6CFA"/>
    <w:rsid w:val="00432266"/>
    <w:rsid w:val="00432E5F"/>
    <w:rsid w:val="00432E66"/>
    <w:rsid w:val="00435B75"/>
    <w:rsid w:val="00444373"/>
    <w:rsid w:val="00447417"/>
    <w:rsid w:val="004D567D"/>
    <w:rsid w:val="004E1278"/>
    <w:rsid w:val="004F2A6F"/>
    <w:rsid w:val="005019FF"/>
    <w:rsid w:val="00503714"/>
    <w:rsid w:val="00505D52"/>
    <w:rsid w:val="0051379C"/>
    <w:rsid w:val="00517805"/>
    <w:rsid w:val="005341E3"/>
    <w:rsid w:val="00561A51"/>
    <w:rsid w:val="0057246F"/>
    <w:rsid w:val="005B14B6"/>
    <w:rsid w:val="005B64EA"/>
    <w:rsid w:val="005E5398"/>
    <w:rsid w:val="005F29AE"/>
    <w:rsid w:val="005F7C0F"/>
    <w:rsid w:val="006301AB"/>
    <w:rsid w:val="00643DD1"/>
    <w:rsid w:val="00663B76"/>
    <w:rsid w:val="0068780F"/>
    <w:rsid w:val="006A6431"/>
    <w:rsid w:val="006B2641"/>
    <w:rsid w:val="006B6E44"/>
    <w:rsid w:val="006D3964"/>
    <w:rsid w:val="006E158D"/>
    <w:rsid w:val="006E4A80"/>
    <w:rsid w:val="006F1D36"/>
    <w:rsid w:val="0071192D"/>
    <w:rsid w:val="007512A3"/>
    <w:rsid w:val="00767B46"/>
    <w:rsid w:val="0079085A"/>
    <w:rsid w:val="00792C3F"/>
    <w:rsid w:val="007B0C08"/>
    <w:rsid w:val="007D0E5D"/>
    <w:rsid w:val="007E23FF"/>
    <w:rsid w:val="0080080D"/>
    <w:rsid w:val="00812553"/>
    <w:rsid w:val="00865F89"/>
    <w:rsid w:val="008743A5"/>
    <w:rsid w:val="00880454"/>
    <w:rsid w:val="00880552"/>
    <w:rsid w:val="008A0C81"/>
    <w:rsid w:val="008B2378"/>
    <w:rsid w:val="008B5879"/>
    <w:rsid w:val="008E0757"/>
    <w:rsid w:val="008E6D14"/>
    <w:rsid w:val="00905F59"/>
    <w:rsid w:val="00914362"/>
    <w:rsid w:val="00934911"/>
    <w:rsid w:val="00943431"/>
    <w:rsid w:val="00945352"/>
    <w:rsid w:val="009930F9"/>
    <w:rsid w:val="00993836"/>
    <w:rsid w:val="0099626A"/>
    <w:rsid w:val="009A1154"/>
    <w:rsid w:val="009B35BD"/>
    <w:rsid w:val="009B39F1"/>
    <w:rsid w:val="009B7F8B"/>
    <w:rsid w:val="009D3126"/>
    <w:rsid w:val="009E6AC1"/>
    <w:rsid w:val="009E6F7D"/>
    <w:rsid w:val="00A076FC"/>
    <w:rsid w:val="00A117FD"/>
    <w:rsid w:val="00A15FBE"/>
    <w:rsid w:val="00A27C27"/>
    <w:rsid w:val="00A33A3D"/>
    <w:rsid w:val="00A35AAF"/>
    <w:rsid w:val="00A56588"/>
    <w:rsid w:val="00A951E0"/>
    <w:rsid w:val="00AA0153"/>
    <w:rsid w:val="00AB2A0D"/>
    <w:rsid w:val="00AB7E77"/>
    <w:rsid w:val="00AC543E"/>
    <w:rsid w:val="00AF3457"/>
    <w:rsid w:val="00AF5F4D"/>
    <w:rsid w:val="00AF64BD"/>
    <w:rsid w:val="00B10CE0"/>
    <w:rsid w:val="00B250EC"/>
    <w:rsid w:val="00B7046F"/>
    <w:rsid w:val="00BB5AB9"/>
    <w:rsid w:val="00BC12BB"/>
    <w:rsid w:val="00C071B4"/>
    <w:rsid w:val="00C157C5"/>
    <w:rsid w:val="00C17463"/>
    <w:rsid w:val="00C53225"/>
    <w:rsid w:val="00C65601"/>
    <w:rsid w:val="00C6560B"/>
    <w:rsid w:val="00C83F0B"/>
    <w:rsid w:val="00CA3BD2"/>
    <w:rsid w:val="00CC5A0A"/>
    <w:rsid w:val="00D0661B"/>
    <w:rsid w:val="00D2009E"/>
    <w:rsid w:val="00D26B7F"/>
    <w:rsid w:val="00D4144D"/>
    <w:rsid w:val="00D457D4"/>
    <w:rsid w:val="00D47D41"/>
    <w:rsid w:val="00D54460"/>
    <w:rsid w:val="00D67A5C"/>
    <w:rsid w:val="00D735C9"/>
    <w:rsid w:val="00D8015C"/>
    <w:rsid w:val="00D90655"/>
    <w:rsid w:val="00DA5B83"/>
    <w:rsid w:val="00DE4E84"/>
    <w:rsid w:val="00DE4EA0"/>
    <w:rsid w:val="00E0591B"/>
    <w:rsid w:val="00E1189A"/>
    <w:rsid w:val="00E2323B"/>
    <w:rsid w:val="00E3403D"/>
    <w:rsid w:val="00E7582F"/>
    <w:rsid w:val="00E80351"/>
    <w:rsid w:val="00EA6B7A"/>
    <w:rsid w:val="00EC3622"/>
    <w:rsid w:val="00ED49C4"/>
    <w:rsid w:val="00F83D44"/>
    <w:rsid w:val="00F949CE"/>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E0591B"/>
    <w:rPr>
      <w:rFonts w:ascii="Arial" w:eastAsia="MS Mincho" w:hAnsi="Arial"/>
      <w:lang w:val="en-GB" w:eastAsia="en-US"/>
    </w:rPr>
  </w:style>
  <w:style w:type="paragraph" w:customStyle="1" w:styleId="paragraph">
    <w:name w:val="paragraph"/>
    <w:basedOn w:val="a"/>
    <w:qFormat/>
    <w:rsid w:val="009D3126"/>
    <w:pPr>
      <w:spacing w:before="100" w:beforeAutospacing="1" w:after="100" w:afterAutospacing="1"/>
    </w:pPr>
    <w:rPr>
      <w:rFonts w:eastAsiaTheme="minorEastAsia"/>
      <w:sz w:val="24"/>
      <w:szCs w:val="24"/>
      <w:lang w:val="en-US" w:eastAsia="zh-CN"/>
    </w:rPr>
  </w:style>
  <w:style w:type="paragraph" w:customStyle="1" w:styleId="ListParagraph2">
    <w:name w:val="List Paragraph2"/>
    <w:basedOn w:val="a"/>
    <w:link w:val="Char3"/>
    <w:uiPriority w:val="34"/>
    <w:qFormat/>
    <w:rsid w:val="009D312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har3">
    <w:name w:val="列出段落 Char"/>
    <w:link w:val="ListParagraph2"/>
    <w:uiPriority w:val="34"/>
    <w:qFormat/>
    <w:locked/>
    <w:rsid w:val="009D3126"/>
    <w:rPr>
      <w:rFonts w:ascii="Arial" w:eastAsia="Times New Roman" w:hAnsi="Arial"/>
      <w:lang w:val="en-GB" w:eastAsia="zh-CN"/>
    </w:rPr>
  </w:style>
  <w:style w:type="character" w:customStyle="1" w:styleId="eop">
    <w:name w:val="eop"/>
    <w:basedOn w:val="a0"/>
    <w:qFormat/>
    <w:rsid w:val="009D3126"/>
  </w:style>
  <w:style w:type="character" w:styleId="ab">
    <w:name w:val="Hyperlink"/>
    <w:basedOn w:val="a0"/>
    <w:uiPriority w:val="99"/>
    <w:semiHidden/>
    <w:unhideWhenUsed/>
    <w:rsid w:val="009434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DE10D-D54A-4E97-8BA9-C7C050BC5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1643</TotalTime>
  <Pages>1</Pages>
  <Words>1167</Words>
  <Characters>6655</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227</cp:revision>
  <dcterms:created xsi:type="dcterms:W3CDTF">2017-04-17T04:10:00Z</dcterms:created>
  <dcterms:modified xsi:type="dcterms:W3CDTF">2018-06-22T05:03:00Z</dcterms:modified>
</cp:coreProperties>
</file>